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 w:val="0"/>
          <w:sz w:val="43"/>
          <w:szCs w:val="43"/>
        </w:rPr>
        <w:t>海南综合型寄递物流监管中心建设项目</w:t>
      </w:r>
      <w:r>
        <w:rPr>
          <w:rStyle w:val="8"/>
          <w:rFonts w:hint="eastAsia" w:cs="宋体"/>
          <w:b/>
          <w:bCs w:val="0"/>
          <w:sz w:val="43"/>
          <w:szCs w:val="43"/>
          <w:lang w:val="en-US" w:eastAsia="zh-CN"/>
        </w:rPr>
        <w:t>2023年</w:t>
      </w:r>
      <w:r>
        <w:rPr>
          <w:rStyle w:val="8"/>
          <w:rFonts w:hint="eastAsia" w:ascii="宋体" w:hAnsi="宋体" w:eastAsia="宋体" w:cs="宋体"/>
          <w:b/>
          <w:bCs w:val="0"/>
          <w:sz w:val="43"/>
          <w:szCs w:val="43"/>
        </w:rPr>
        <w:t>项目支出绩效自评报告</w:t>
      </w:r>
      <w:r>
        <w:rPr>
          <w:rStyle w:val="8"/>
          <w:rFonts w:hint="eastAsia" w:ascii="宋体" w:hAnsi="宋体" w:eastAsia="宋体" w:cs="宋体"/>
          <w:b/>
          <w:bCs w:val="0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黑体" w:hAnsi="宋体" w:eastAsia="黑体" w:cs="黑体"/>
          <w:kern w:val="0"/>
          <w:sz w:val="31"/>
          <w:szCs w:val="31"/>
        </w:rPr>
        <w:t>一、项目概况</w:t>
      </w:r>
    </w:p>
    <w:p>
      <w:pPr>
        <w:bidi w:val="0"/>
        <w:ind w:firstLine="300" w:firstLineChars="100"/>
        <w:rPr>
          <w:rFonts w:hint="default"/>
        </w:rPr>
      </w:pPr>
      <w:r>
        <w:rPr>
          <w:rFonts w:hint="default"/>
        </w:rPr>
        <w:t>（一）项目基本情况：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立项情况：</w:t>
      </w:r>
      <w:r>
        <w:rPr>
          <w:rFonts w:hint="eastAsia"/>
          <w:lang w:val="en-US" w:eastAsia="zh-CN"/>
        </w:rPr>
        <w:t>2022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default"/>
        </w:rPr>
        <w:t>日完成立项工作。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项目概述如下：</w:t>
      </w:r>
      <w:r>
        <w:rPr>
          <w:rFonts w:hint="eastAsia"/>
          <w:lang w:val="en-US" w:eastAsia="zh-CN"/>
        </w:rPr>
        <w:t>该项目位于海口市秀英区海口站西侧永庆大道东路东侧，项目总建筑面积81520 平方米，建设邮件快件监管中心、相关配套设施、人防地下室及车库等。主要建设内容包含主体结构及装饰工程、安装工程、室外配套工程及充电桩工程等。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default"/>
        </w:rPr>
        <w:t xml:space="preserve">预算单位 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海口综合保税区管理委员会</w:t>
      </w:r>
      <w:r>
        <w:rPr>
          <w:rFonts w:hint="default"/>
        </w:rPr>
        <w:t xml:space="preserve"> 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项目负责人为：</w:t>
      </w:r>
      <w:r>
        <w:rPr>
          <w:rFonts w:hint="eastAsia"/>
          <w:lang w:val="en-US" w:eastAsia="zh-CN"/>
        </w:rPr>
        <w:t>全克江</w:t>
      </w:r>
      <w:r>
        <w:rPr>
          <w:rFonts w:hint="default"/>
        </w:rPr>
        <w:tab/>
      </w:r>
    </w:p>
    <w:p>
      <w:pPr>
        <w:bidi w:val="0"/>
        <w:ind w:firstLine="600" w:firstLineChars="200"/>
        <w:rPr>
          <w:rFonts w:hint="default" w:eastAsia="STFangsong"/>
          <w:lang w:val="en-US" w:eastAsia="zh-CN"/>
        </w:rPr>
      </w:pPr>
      <w:r>
        <w:rPr>
          <w:rFonts w:hint="default"/>
        </w:rPr>
        <w:t>联系电话：</w:t>
      </w:r>
      <w:r>
        <w:rPr>
          <w:rFonts w:hint="eastAsia"/>
          <w:lang w:val="en-US" w:eastAsia="zh-CN"/>
        </w:rPr>
        <w:t>0898-67201274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default"/>
        </w:rPr>
        <w:t>资金及主要内容：</w:t>
      </w:r>
      <w:r>
        <w:rPr>
          <w:rFonts w:hint="eastAsia"/>
          <w:lang w:val="en-US" w:eastAsia="zh-CN"/>
        </w:rPr>
        <w:t>项目概算总投资61694.82万元，其中工程费用53651.73万元，工程建设其他费4506.64万元，预备费 2907.92万元，建设单位管理费628.53万元。</w:t>
      </w:r>
    </w:p>
    <w:p>
      <w:pPr>
        <w:bidi w:val="0"/>
        <w:rPr>
          <w:rFonts w:hint="eastAsia"/>
        </w:rPr>
      </w:pPr>
      <w:r>
        <w:rPr>
          <w:rFonts w:hint="default"/>
        </w:rPr>
        <w:t>（二）项目年度预算绩效目标和绩效指标设定情况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default"/>
        </w:rPr>
        <w:t>总体目标：</w:t>
      </w:r>
      <w:r>
        <w:rPr>
          <w:rFonts w:hint="eastAsia"/>
          <w:lang w:val="en-US" w:eastAsia="zh-CN"/>
        </w:rPr>
        <w:t>落实《海南自由贸易港口岸建设“十四五”规划（2021-2025）》及《琼州海峡与新海港片区综合交通枢纽规划（2021-2035年）》等规划建设任务要求，建立和完善“二线”查验监管，为实现“二线口岸”封关运作和发展提供基础条件。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年年度目标：202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年项目</w:t>
      </w:r>
      <w:r>
        <w:rPr>
          <w:rFonts w:hint="eastAsia"/>
          <w:lang w:val="en-US" w:eastAsia="zh-CN"/>
        </w:rPr>
        <w:t>完工</w:t>
      </w:r>
      <w:r>
        <w:rPr>
          <w:rFonts w:hint="default"/>
        </w:rPr>
        <w:t>。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  <w:lang w:val="en-US" w:eastAsia="zh-CN"/>
        </w:rPr>
        <w:t>2023</w:t>
      </w:r>
      <w:r>
        <w:rPr>
          <w:rFonts w:hint="default"/>
        </w:rPr>
        <w:t>年度目标完成情况：该项目已完</w:t>
      </w:r>
      <w:r>
        <w:rPr>
          <w:rFonts w:hint="eastAsia"/>
          <w:lang w:val="en-US" w:eastAsia="zh-CN"/>
        </w:rPr>
        <w:t>工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项目</w:t>
      </w:r>
      <w:r>
        <w:rPr>
          <w:rFonts w:hint="default"/>
        </w:rPr>
        <w:t>总体形象进度已达9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%。剩余部分绿化工程和电力工程推进中。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64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default" w:ascii="黑体" w:hAnsi="宋体" w:eastAsia="黑体" w:cs="黑体"/>
          <w:color w:val="000000"/>
          <w:kern w:val="0"/>
          <w:sz w:val="31"/>
          <w:szCs w:val="31"/>
        </w:rPr>
        <w:t>二、项目决策及资金使用管理情况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（一）项目决策情况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该项目为省</w:t>
      </w:r>
      <w:r>
        <w:rPr>
          <w:rFonts w:hint="eastAsia"/>
          <w:lang w:eastAsia="zh-CN"/>
        </w:rPr>
        <w:t>、</w:t>
      </w:r>
      <w:r>
        <w:rPr>
          <w:rFonts w:hint="default"/>
        </w:rPr>
        <w:t>市区</w:t>
      </w:r>
      <w:r>
        <w:rPr>
          <w:rFonts w:hint="eastAsia"/>
          <w:lang w:val="en-US" w:eastAsia="zh-CN"/>
        </w:rPr>
        <w:t>重点</w:t>
      </w:r>
      <w:r>
        <w:rPr>
          <w:rFonts w:hint="default"/>
        </w:rPr>
        <w:t>项目，为尽快</w:t>
      </w:r>
      <w:r>
        <w:rPr>
          <w:rFonts w:hint="eastAsia"/>
          <w:lang w:val="en-US" w:eastAsia="zh-CN"/>
        </w:rPr>
        <w:t>推进项目建设，省、市领导多次组织召开专题会议研究项目推进情况，解决项目在实际推进过程中存在的问题</w:t>
      </w:r>
      <w:r>
        <w:rPr>
          <w:rFonts w:hint="default"/>
        </w:rPr>
        <w:t>。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（二）项目资金安排落实、总投入等情况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eastAsia"/>
          <w:lang w:val="en-US" w:eastAsia="zh-CN"/>
        </w:rPr>
        <w:t>2023年4月23日，市财政局下达2023年提前批专项债券资金，该项目下达40000万元（海财建</w:t>
      </w:r>
      <w:r>
        <w:rPr>
          <w:rFonts w:hint="default"/>
          <w:lang w:val="en-US" w:eastAsia="zh-CN"/>
        </w:rPr>
        <w:t>[2023]1048</w:t>
      </w:r>
      <w:r>
        <w:rPr>
          <w:rFonts w:hint="eastAsia"/>
          <w:lang w:val="en-US" w:eastAsia="zh-CN"/>
        </w:rPr>
        <w:t>号）。截止2023年12月31日，项目实际</w:t>
      </w:r>
      <w:r>
        <w:rPr>
          <w:rFonts w:hint="default"/>
        </w:rPr>
        <w:t>已到位资金</w:t>
      </w:r>
      <w:r>
        <w:rPr>
          <w:rFonts w:hint="eastAsia"/>
          <w:lang w:val="en-US" w:eastAsia="zh-CN"/>
        </w:rPr>
        <w:t>40</w:t>
      </w:r>
      <w:r>
        <w:rPr>
          <w:rFonts w:hint="default"/>
        </w:rPr>
        <w:t>00</w:t>
      </w:r>
      <w:r>
        <w:rPr>
          <w:rFonts w:hint="eastAsia"/>
          <w:lang w:val="en-US" w:eastAsia="zh-CN"/>
        </w:rPr>
        <w:t>0万元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资金到位率100%均，占比项目概算总投资71.31%</w:t>
      </w:r>
      <w:r>
        <w:rPr>
          <w:rFonts w:hint="default"/>
        </w:rPr>
        <w:t>。</w:t>
      </w:r>
    </w:p>
    <w:p>
      <w:pPr>
        <w:bidi w:val="0"/>
        <w:ind w:firstLine="60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default"/>
        </w:rPr>
        <w:t>项目资金实际使用情况</w:t>
      </w:r>
    </w:p>
    <w:p>
      <w:pPr>
        <w:bidi w:val="0"/>
        <w:ind w:firstLine="60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项目实际已下达资金40000万元，截止2023年12月，实际已下达资金已使用34608.14万元，占比已下达资金86.52%，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default"/>
        </w:rPr>
        <w:t>项目资金管理情况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项目建设资金管理遵照政府投资项目管理规定和相关法律法规，严格按照现行的会计管理办法履行基本建设程序，确保项目顺利进行和资金执行管理.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645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黑体" w:hAnsi="宋体" w:eastAsia="黑体" w:cs="黑体"/>
          <w:kern w:val="0"/>
          <w:sz w:val="31"/>
          <w:szCs w:val="31"/>
        </w:rPr>
        <w:t>三、项目组织实施情况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（一）项目组织情况（包括项目招投标情况、调整情况、完成验收等）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项目已完成全部招标工作，已完成场地平整、给排水工程、道路工程、人行道及停车位、附属园建工程，总体形象进度已达92%。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default"/>
        </w:rPr>
        <w:t>项目管理情况（包括项目管理制度建设、日常检查监督等情况）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严格执行海口市政府投资项目管理规定，</w:t>
      </w:r>
      <w:r>
        <w:rPr>
          <w:rFonts w:hint="eastAsia"/>
          <w:lang w:val="en-US" w:eastAsia="zh-CN"/>
        </w:rPr>
        <w:t>定期</w:t>
      </w:r>
      <w:r>
        <w:rPr>
          <w:rFonts w:hint="default"/>
        </w:rPr>
        <w:t xml:space="preserve">组织参建各方的负责人进行现场巡查及安全文明专项检查，每周召开项目协调会及监理例会，每月积极配合质监站对项目进行过程检查工作。在保证项目正常运转同时，坚持厉行节约，保证项目资金使用符合规定，杜绝截留、挤占、挪用和虚列开支等情况。 </w:t>
      </w:r>
    </w:p>
    <w:p>
      <w:pPr>
        <w:pStyle w:val="7"/>
        <w:keepNext w:val="0"/>
        <w:keepLines w:val="0"/>
        <w:widowControl/>
        <w:numPr>
          <w:numId w:val="0"/>
        </w:numPr>
        <w:suppressLineNumbers w:val="0"/>
        <w:tabs>
          <w:tab w:val="left" w:pos="0"/>
        </w:tabs>
        <w:spacing w:line="240" w:lineRule="auto"/>
        <w:ind w:left="645" w:leftChars="0" w:right="0" w:rightChars="0"/>
        <w:rPr>
          <w:rFonts w:hint="default"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eastAsia="黑体" w:cs="黑体"/>
          <w:color w:val="000000"/>
          <w:kern w:val="0"/>
          <w:sz w:val="31"/>
          <w:szCs w:val="31"/>
          <w:lang w:val="en-US" w:eastAsia="zh-CN"/>
        </w:rPr>
        <w:t>四、</w:t>
      </w:r>
      <w:r>
        <w:rPr>
          <w:rFonts w:hint="default" w:ascii="黑体" w:hAnsi="宋体" w:eastAsia="黑体" w:cs="黑体"/>
          <w:color w:val="000000"/>
          <w:kern w:val="0"/>
          <w:sz w:val="31"/>
          <w:szCs w:val="31"/>
        </w:rPr>
        <w:t>项目绩效情况</w:t>
      </w:r>
    </w:p>
    <w:p>
      <w:pPr>
        <w:bidi w:val="0"/>
        <w:ind w:leftChars="200"/>
        <w:jc w:val="left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）绩效指标完成情况分析</w:t>
      </w:r>
    </w:p>
    <w:p>
      <w:pPr>
        <w:spacing w:line="500" w:lineRule="exact"/>
        <w:ind w:leftChars="200"/>
        <w:jc w:val="left"/>
      </w:pPr>
      <w:r>
        <w:rPr>
          <w:rFonts w:hint="eastAsia"/>
        </w:rPr>
        <w:t>1.产出指标：</w:t>
      </w:r>
      <w:r>
        <w:t xml:space="preserve"> </w:t>
      </w:r>
    </w:p>
    <w:p>
      <w:pPr>
        <w:spacing w:line="500" w:lineRule="exact"/>
        <w:ind w:leftChars="200"/>
        <w:jc w:val="left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）数量</w:t>
      </w:r>
      <w:r>
        <w:rPr>
          <w:rFonts w:hint="eastAsia"/>
          <w:lang w:val="en-US" w:eastAsia="zh-CN"/>
        </w:rPr>
        <w:t>目标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完成建筑面积=81520平方米</w:t>
      </w:r>
      <w:r>
        <w:rPr>
          <w:rFonts w:hint="eastAsia"/>
        </w:rPr>
        <w:t>。</w:t>
      </w:r>
    </w:p>
    <w:p>
      <w:pPr>
        <w:spacing w:line="500" w:lineRule="exact"/>
        <w:ind w:leftChars="200"/>
        <w:jc w:val="left"/>
        <w:rPr>
          <w:rFonts w:hint="eastAsia"/>
        </w:rPr>
      </w:pPr>
      <w:r>
        <w:rPr>
          <w:rFonts w:hint="eastAsia"/>
        </w:rPr>
        <w:t>完成情况：</w:t>
      </w:r>
      <w:r>
        <w:rPr>
          <w:rFonts w:hint="eastAsia"/>
          <w:lang w:val="en-US" w:eastAsia="zh-CN"/>
        </w:rPr>
        <w:t>已完成建筑面积81520平方米。</w:t>
      </w:r>
    </w:p>
    <w:p>
      <w:pPr>
        <w:spacing w:line="500" w:lineRule="exact"/>
        <w:ind w:leftChars="200"/>
        <w:jc w:val="left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质量</w:t>
      </w:r>
      <w:r>
        <w:rPr>
          <w:rFonts w:hint="eastAsia"/>
        </w:rPr>
        <w:t>目标：</w:t>
      </w:r>
      <w:r>
        <w:rPr>
          <w:rFonts w:hint="eastAsia"/>
          <w:lang w:val="en-US" w:eastAsia="zh-CN"/>
        </w:rPr>
        <w:t>完工部分</w:t>
      </w:r>
      <w:r>
        <w:rPr>
          <w:rFonts w:hint="eastAsia"/>
        </w:rPr>
        <w:t>合格率</w:t>
      </w:r>
      <w:r>
        <w:rPr>
          <w:rFonts w:hint="eastAsia"/>
          <w:lang w:eastAsia="zh-CN"/>
        </w:rPr>
        <w:t>≥</w:t>
      </w:r>
      <w:r>
        <w:rPr>
          <w:rFonts w:hint="eastAsia"/>
          <w:lang w:val="en-US" w:eastAsia="zh-CN"/>
        </w:rPr>
        <w:t>90%</w:t>
      </w:r>
      <w:r>
        <w:rPr>
          <w:rFonts w:hint="eastAsia"/>
        </w:rPr>
        <w:t>。</w:t>
      </w:r>
    </w:p>
    <w:p>
      <w:pPr>
        <w:spacing w:line="500" w:lineRule="exact"/>
        <w:ind w:left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完成情况：</w:t>
      </w:r>
      <w:r>
        <w:rPr>
          <w:rFonts w:hint="eastAsia"/>
          <w:lang w:val="en-US" w:eastAsia="zh-CN"/>
        </w:rPr>
        <w:t>完工部分</w:t>
      </w:r>
      <w:r>
        <w:rPr>
          <w:rFonts w:hint="eastAsia"/>
        </w:rPr>
        <w:t>合格率</w:t>
      </w:r>
      <w:r>
        <w:rPr>
          <w:rFonts w:hint="eastAsia"/>
          <w:lang w:eastAsia="zh-CN"/>
        </w:rPr>
        <w:t>≥</w:t>
      </w:r>
      <w:r>
        <w:rPr>
          <w:rFonts w:hint="eastAsia"/>
          <w:lang w:val="en-US" w:eastAsia="zh-CN"/>
        </w:rPr>
        <w:t>95%。</w:t>
      </w:r>
    </w:p>
    <w:p>
      <w:pPr>
        <w:spacing w:line="500" w:lineRule="exact"/>
        <w:ind w:leftChars="200"/>
        <w:jc w:val="left"/>
        <w:rPr>
          <w:rFonts w:hint="eastAsia"/>
        </w:rPr>
      </w:pPr>
      <w:r>
        <w:rPr>
          <w:rFonts w:hint="eastAsia"/>
        </w:rPr>
        <w:t xml:space="preserve">2.效益指标： </w:t>
      </w:r>
    </w:p>
    <w:p>
      <w:pPr>
        <w:spacing w:line="500" w:lineRule="exact"/>
        <w:ind w:leftChars="200"/>
        <w:jc w:val="left"/>
        <w:rPr>
          <w:rFonts w:hint="eastAsia"/>
        </w:rPr>
      </w:pPr>
      <w:r>
        <w:rPr>
          <w:rFonts w:hint="eastAsia"/>
        </w:rPr>
        <w:t>目标：项目受益人数</w:t>
      </w:r>
      <w:r>
        <w:rPr>
          <w:rFonts w:hint="eastAsia"/>
          <w:lang w:eastAsia="zh-CN"/>
        </w:rPr>
        <w:t>≥</w:t>
      </w:r>
      <w:r>
        <w:rPr>
          <w:rFonts w:hint="eastAsia"/>
          <w:lang w:val="en-US" w:eastAsia="zh-CN"/>
        </w:rPr>
        <w:t>300万</w:t>
      </w:r>
      <w:r>
        <w:rPr>
          <w:rFonts w:hint="eastAsia"/>
        </w:rPr>
        <w:t>。</w:t>
      </w:r>
    </w:p>
    <w:p>
      <w:pPr>
        <w:spacing w:line="500" w:lineRule="exact"/>
        <w:ind w:leftChars="200"/>
        <w:jc w:val="left"/>
        <w:rPr>
          <w:rFonts w:hint="eastAsia"/>
        </w:rPr>
      </w:pPr>
      <w:r>
        <w:rPr>
          <w:rFonts w:hint="eastAsia"/>
        </w:rPr>
        <w:t>完成情况：项目周边群众收益，受益人数已超</w:t>
      </w:r>
      <w:r>
        <w:rPr>
          <w:rFonts w:hint="eastAsia"/>
          <w:lang w:val="en-US" w:eastAsia="zh-CN"/>
        </w:rPr>
        <w:t>10000</w:t>
      </w:r>
      <w:r>
        <w:rPr>
          <w:rFonts w:hint="eastAsia"/>
        </w:rPr>
        <w:t>人，完成目标绩效。</w:t>
      </w:r>
    </w:p>
    <w:p>
      <w:pPr>
        <w:numPr>
          <w:ilvl w:val="4"/>
          <w:numId w:val="0"/>
        </w:numPr>
        <w:spacing w:line="500" w:lineRule="exact"/>
        <w:ind w:leftChars="200"/>
        <w:jc w:val="left"/>
        <w:rPr>
          <w:rFonts w:hint="eastAsia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eastAsia" w:hAnsi="Times New Roman" w:cs="Times New Roman"/>
          <w:lang w:val="en-US" w:eastAsia="zh-CN"/>
        </w:rPr>
        <w:t>成本指标</w:t>
      </w:r>
    </w:p>
    <w:p>
      <w:pPr>
        <w:spacing w:line="500" w:lineRule="exact"/>
        <w:ind w:leftChars="200"/>
        <w:jc w:val="left"/>
        <w:rPr>
          <w:rFonts w:hint="eastAsia"/>
        </w:rPr>
      </w:pPr>
      <w:r>
        <w:rPr>
          <w:rFonts w:hint="eastAsia"/>
        </w:rPr>
        <w:t>目标：超概算项目比例</w:t>
      </w:r>
      <w:r>
        <w:rPr>
          <w:rFonts w:hint="eastAsia"/>
          <w:lang w:eastAsia="zh-CN"/>
        </w:rPr>
        <w:t>≤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%</w:t>
      </w:r>
    </w:p>
    <w:p>
      <w:pPr>
        <w:spacing w:line="500" w:lineRule="exact"/>
        <w:ind w:leftChars="200"/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完成情况：</w:t>
      </w:r>
      <w:r>
        <w:rPr>
          <w:rFonts w:hint="eastAsia"/>
          <w:lang w:eastAsia="zh-CN"/>
        </w:rPr>
        <w:t>暂无超概项目。</w:t>
      </w:r>
    </w:p>
    <w:p>
      <w:pPr>
        <w:bidi w:val="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）整体绩效自评。</w:t>
      </w:r>
    </w:p>
    <w:p>
      <w:pPr>
        <w:bidi w:val="0"/>
        <w:ind w:firstLine="600" w:firstLineChars="200"/>
        <w:rPr>
          <w:rFonts w:hint="default"/>
          <w:lang w:val="en-US" w:eastAsia="zh-CN"/>
        </w:rPr>
      </w:pPr>
      <w:r>
        <w:rPr>
          <w:rFonts w:hint="eastAsia"/>
          <w:lang w:bidi="ar"/>
        </w:rPr>
        <w:t>该年度</w:t>
      </w:r>
      <w:r>
        <w:rPr>
          <w:rFonts w:hint="eastAsia"/>
          <w:lang w:val="en-US" w:eastAsia="zh-CN" w:bidi="ar"/>
        </w:rPr>
        <w:t>海南综合型寄递物流监管中心建设项目</w:t>
      </w:r>
      <w:r>
        <w:rPr>
          <w:rFonts w:hint="eastAsia"/>
          <w:lang w:bidi="ar"/>
        </w:rPr>
        <w:t>整体效益目标已按时完成，绩效自评分</w:t>
      </w:r>
      <w:r>
        <w:rPr>
          <w:rFonts w:hint="eastAsia"/>
          <w:color w:val="auto"/>
          <w:lang w:bidi="ar"/>
        </w:rPr>
        <w:t>数</w:t>
      </w:r>
      <w:r>
        <w:rPr>
          <w:rFonts w:hint="eastAsia"/>
          <w:color w:val="auto"/>
          <w:lang w:val="en-US" w:eastAsia="zh-CN" w:bidi="ar"/>
        </w:rPr>
        <w:t>98.65</w:t>
      </w:r>
      <w:r>
        <w:rPr>
          <w:rFonts w:hint="eastAsia"/>
          <w:color w:val="auto"/>
          <w:lang w:bidi="ar"/>
        </w:rPr>
        <w:t>分，自评等级优</w:t>
      </w:r>
      <w:r>
        <w:rPr>
          <w:rFonts w:hint="eastAsia"/>
          <w:lang w:bidi="ar"/>
        </w:rPr>
        <w:t>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0"/>
        </w:tabs>
        <w:spacing w:line="240" w:lineRule="auto"/>
        <w:ind w:left="645" w:leftChars="0" w:right="0" w:rightChars="0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五、其他需要说明的问题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（一）后续工作计划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落实项目</w:t>
      </w:r>
      <w:r>
        <w:rPr>
          <w:rFonts w:hint="eastAsia"/>
          <w:lang w:val="en-US" w:eastAsia="zh-CN"/>
        </w:rPr>
        <w:t>后续</w:t>
      </w:r>
      <w:r>
        <w:rPr>
          <w:rFonts w:hint="default"/>
        </w:rPr>
        <w:t>资金，尽快完成</w:t>
      </w:r>
      <w:r>
        <w:rPr>
          <w:rFonts w:hint="eastAsia"/>
          <w:lang w:val="en-US" w:eastAsia="zh-CN"/>
        </w:rPr>
        <w:t>项目竣工验收</w:t>
      </w:r>
      <w:r>
        <w:rPr>
          <w:rFonts w:hint="default"/>
        </w:rPr>
        <w:t>，确保该项目按要求</w:t>
      </w:r>
      <w:r>
        <w:rPr>
          <w:rFonts w:hint="eastAsia"/>
          <w:lang w:val="en-US" w:eastAsia="zh-CN"/>
        </w:rPr>
        <w:t>尽快投入使用</w:t>
      </w:r>
      <w:r>
        <w:rPr>
          <w:rFonts w:hint="default"/>
        </w:rPr>
        <w:t xml:space="preserve">。 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default"/>
        </w:rPr>
        <w:t>主要经验及做法、存在问题和建议</w:t>
      </w:r>
    </w:p>
    <w:p>
      <w:pPr>
        <w:bidi w:val="0"/>
        <w:ind w:firstLine="600" w:firstLineChars="200"/>
        <w:rPr>
          <w:rFonts w:hint="default"/>
        </w:rPr>
      </w:pPr>
      <w:r>
        <w:rPr>
          <w:rFonts w:hint="default"/>
        </w:rPr>
        <w:t>本项目的资金来源于市级财政资金，项目的资金支出遵照政府投资项目管理规定执行，严格按照现行的会计管理办法和财政关于代建制资金使用相关要求，计划资金通过国库集中支付拨帐汇款给项目承建相关单位。所涉及到的账务，核算站工作人员通过账务核算信息系统进行管理。市级资金实际到位时效和财政库款情况决定着本项目资金支出。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EB9C"/>
    <w:rsid w:val="75AEEB9C"/>
    <w:rsid w:val="AFA573AA"/>
    <w:rsid w:val="BE96B4DB"/>
    <w:rsid w:val="F3FF12E6"/>
    <w:rsid w:val="F9FC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99"/>
    <w:pPr>
      <w:spacing w:before="0" w:beforeAutospacing="0" w:after="0" w:afterAutospacing="0" w:line="360" w:lineRule="auto"/>
      <w:ind w:left="0" w:right="0"/>
      <w:jc w:val="left"/>
    </w:pPr>
    <w:rPr>
      <w:rFonts w:hint="eastAsia" w:ascii="宋体" w:hAnsi="宋体" w:eastAsia="STFangsong" w:cs="宋体"/>
      <w:kern w:val="0"/>
      <w:sz w:val="30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643"/>
    </w:pPr>
    <w:rPr>
      <w:rFonts w:ascii="黑体" w:hAnsi="黑体" w:eastAsia="黑体"/>
      <w:b/>
      <w:kern w:val="44"/>
      <w:szCs w:val="2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customStyle="1" w:styleId="7">
    <w:name w:val="普通(网站) Char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15"/>
    <w:basedOn w:val="6"/>
    <w:uiPriority w:val="0"/>
    <w:rPr>
      <w:rFonts w:hint="default" w:ascii="Times New Roman" w:hAnsi="Times New Roman" w:cs="Times New Roman"/>
      <w:b/>
    </w:rPr>
  </w:style>
  <w:style w:type="paragraph" w:customStyle="1" w:styleId="9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default" w:ascii="仿宋" w:hAnsi="仿宋" w:eastAsia="仿宋" w:cs="仿宋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2024-06-07T16:00:00Z</dcterms:created>
  <dc:creator>周磊</dc:creator>
  <cp:lastModifiedBy>周磊</cp:lastModifiedBy>
  <dcterms:modified xsi:type="dcterms:W3CDTF">2024-06-07T15:15:42Z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FC94E907D785CD42AC6C616695A16E47_41</vt:lpwstr>
  </property>
</Properties>
</file>