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C011" w14:textId="77777777" w:rsidR="008524AF" w:rsidRDefault="008524AF" w:rsidP="008524AF">
      <w:pPr>
        <w:rPr>
          <w:rFonts w:eastAsia="仿宋" w:cs="方正小标宋_GBK"/>
          <w:sz w:val="44"/>
          <w:szCs w:val="44"/>
          <w:shd w:val="clear" w:color="auto" w:fill="FFFFFF"/>
        </w:rPr>
      </w:pPr>
      <w:r>
        <w:rPr>
          <w:rFonts w:eastAsia="仿宋" w:cs="仿宋" w:hint="eastAsia"/>
          <w:kern w:val="0"/>
          <w:sz w:val="30"/>
          <w:szCs w:val="30"/>
          <w:shd w:val="clear" w:color="auto" w:fill="FFFFFF"/>
        </w:rPr>
        <w:t>附件</w:t>
      </w:r>
      <w:r>
        <w:rPr>
          <w:rFonts w:eastAsia="仿宋" w:cs="仿宋" w:hint="eastAsia"/>
          <w:kern w:val="0"/>
          <w:sz w:val="30"/>
          <w:szCs w:val="30"/>
          <w:shd w:val="clear" w:color="auto" w:fill="FFFFFF"/>
        </w:rPr>
        <w:t>3</w:t>
      </w:r>
    </w:p>
    <w:p w14:paraId="432D1C0D" w14:textId="77777777" w:rsidR="008524AF" w:rsidRDefault="008524AF" w:rsidP="008524AF">
      <w:pPr>
        <w:rPr>
          <w:rFonts w:ascii="仿宋" w:eastAsia="仿宋" w:hAnsi="仿宋" w:cs="仿宋"/>
          <w:b/>
          <w:bCs/>
          <w:sz w:val="32"/>
          <w:szCs w:val="32"/>
        </w:rPr>
      </w:pPr>
    </w:p>
    <w:p w14:paraId="349A0154" w14:textId="77777777" w:rsidR="008524AF" w:rsidRDefault="008524AF" w:rsidP="008524AF">
      <w:pPr>
        <w:jc w:val="center"/>
        <w:rPr>
          <w:rFonts w:ascii="仿宋" w:eastAsia="仿宋" w:hAnsi="仿宋" w:cs="仿宋"/>
          <w:b/>
          <w:bCs/>
          <w:sz w:val="32"/>
          <w:szCs w:val="32"/>
        </w:rPr>
      </w:pPr>
      <w:r>
        <w:rPr>
          <w:rFonts w:ascii="仿宋" w:eastAsia="仿宋" w:hAnsi="仿宋" w:cs="仿宋" w:hint="eastAsia"/>
          <w:b/>
          <w:bCs/>
          <w:sz w:val="32"/>
          <w:szCs w:val="32"/>
        </w:rPr>
        <w:t>比选方法（综合评估法）</w:t>
      </w:r>
    </w:p>
    <w:tbl>
      <w:tblPr>
        <w:tblStyle w:val="a8"/>
        <w:tblW w:w="10060" w:type="dxa"/>
        <w:jc w:val="center"/>
        <w:tblLook w:val="04A0" w:firstRow="1" w:lastRow="0" w:firstColumn="1" w:lastColumn="0" w:noHBand="0" w:noVBand="1"/>
      </w:tblPr>
      <w:tblGrid>
        <w:gridCol w:w="1413"/>
        <w:gridCol w:w="2126"/>
        <w:gridCol w:w="6521"/>
      </w:tblGrid>
      <w:tr w:rsidR="008524AF" w14:paraId="668C9A81" w14:textId="77777777" w:rsidTr="007F2AD5">
        <w:trPr>
          <w:jc w:val="center"/>
        </w:trPr>
        <w:tc>
          <w:tcPr>
            <w:tcW w:w="1413" w:type="dxa"/>
          </w:tcPr>
          <w:p w14:paraId="1331CEDB" w14:textId="77777777" w:rsidR="008524AF" w:rsidRDefault="008524AF" w:rsidP="007F2AD5">
            <w:pPr>
              <w:spacing w:line="400" w:lineRule="exact"/>
              <w:jc w:val="center"/>
              <w:rPr>
                <w:rFonts w:ascii="仿宋" w:eastAsia="仿宋" w:hAnsi="仿宋" w:cs="仿宋"/>
                <w:sz w:val="28"/>
                <w:szCs w:val="28"/>
              </w:rPr>
            </w:pPr>
            <w:r>
              <w:rPr>
                <w:rFonts w:ascii="仿宋" w:eastAsia="仿宋" w:hAnsi="仿宋" w:cs="仿宋" w:hint="eastAsia"/>
                <w:sz w:val="28"/>
                <w:szCs w:val="28"/>
              </w:rPr>
              <w:t>评审分项</w:t>
            </w:r>
          </w:p>
        </w:tc>
        <w:tc>
          <w:tcPr>
            <w:tcW w:w="2126" w:type="dxa"/>
          </w:tcPr>
          <w:p w14:paraId="78D96B24" w14:textId="77777777" w:rsidR="008524AF" w:rsidRDefault="008524AF" w:rsidP="007F2AD5">
            <w:pPr>
              <w:spacing w:line="400" w:lineRule="exact"/>
              <w:jc w:val="center"/>
              <w:rPr>
                <w:rFonts w:ascii="仿宋" w:eastAsia="仿宋" w:hAnsi="仿宋" w:cs="仿宋"/>
                <w:sz w:val="28"/>
                <w:szCs w:val="28"/>
              </w:rPr>
            </w:pPr>
            <w:r>
              <w:rPr>
                <w:rFonts w:ascii="仿宋" w:eastAsia="仿宋" w:hAnsi="仿宋" w:cs="仿宋" w:hint="eastAsia"/>
                <w:sz w:val="28"/>
                <w:szCs w:val="28"/>
              </w:rPr>
              <w:t>分值（分）</w:t>
            </w:r>
          </w:p>
        </w:tc>
        <w:tc>
          <w:tcPr>
            <w:tcW w:w="6521" w:type="dxa"/>
          </w:tcPr>
          <w:p w14:paraId="47F03E23" w14:textId="77777777" w:rsidR="008524AF" w:rsidRDefault="008524AF" w:rsidP="007F2AD5">
            <w:pPr>
              <w:spacing w:line="400" w:lineRule="exact"/>
              <w:jc w:val="center"/>
              <w:rPr>
                <w:rFonts w:ascii="仿宋" w:eastAsia="仿宋" w:hAnsi="仿宋" w:cs="仿宋"/>
                <w:sz w:val="28"/>
                <w:szCs w:val="28"/>
              </w:rPr>
            </w:pPr>
            <w:r>
              <w:rPr>
                <w:rFonts w:ascii="仿宋" w:eastAsia="仿宋" w:hAnsi="仿宋" w:cs="仿宋" w:hint="eastAsia"/>
                <w:sz w:val="28"/>
                <w:szCs w:val="28"/>
              </w:rPr>
              <w:t>评审内容及原则</w:t>
            </w:r>
          </w:p>
        </w:tc>
      </w:tr>
      <w:tr w:rsidR="008524AF" w14:paraId="5E542FB4" w14:textId="77777777" w:rsidTr="007F2AD5">
        <w:trPr>
          <w:jc w:val="center"/>
        </w:trPr>
        <w:tc>
          <w:tcPr>
            <w:tcW w:w="1413" w:type="dxa"/>
            <w:vAlign w:val="center"/>
          </w:tcPr>
          <w:p w14:paraId="3B10463E"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类似项目业绩</w:t>
            </w:r>
          </w:p>
        </w:tc>
        <w:tc>
          <w:tcPr>
            <w:tcW w:w="2126" w:type="dxa"/>
            <w:vAlign w:val="center"/>
          </w:tcPr>
          <w:p w14:paraId="7A638A44"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25</w:t>
            </w:r>
          </w:p>
        </w:tc>
        <w:tc>
          <w:tcPr>
            <w:tcW w:w="5670" w:type="dxa"/>
          </w:tcPr>
          <w:p w14:paraId="57BC596C"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2017年1月1日至今（以合同签订时间为准）投标人完成类似项目业绩的测绘合同为打分依据。</w:t>
            </w:r>
          </w:p>
          <w:p w14:paraId="6FBF74D9"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 xml:space="preserve">承接竣工测量、房产测绘项目规模在7万平米以上的，每项得分10分，最高分25分；规模在4.5万-7万平米的，每项得分5分，最高分10分。本项满分25分。 </w:t>
            </w:r>
          </w:p>
          <w:p w14:paraId="1EF2A943"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证明材料：投标文件中提供中标通知书或合同复印件或业主委托证明材料复印件加盖公章。</w:t>
            </w:r>
          </w:p>
        </w:tc>
      </w:tr>
      <w:tr w:rsidR="008524AF" w14:paraId="5A94A066" w14:textId="77777777" w:rsidTr="007F2AD5">
        <w:trPr>
          <w:jc w:val="center"/>
        </w:trPr>
        <w:tc>
          <w:tcPr>
            <w:tcW w:w="1413" w:type="dxa"/>
            <w:vAlign w:val="center"/>
          </w:tcPr>
          <w:p w14:paraId="5EB6E75A"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人员配备</w:t>
            </w:r>
          </w:p>
        </w:tc>
        <w:tc>
          <w:tcPr>
            <w:tcW w:w="2126" w:type="dxa"/>
            <w:vAlign w:val="center"/>
          </w:tcPr>
          <w:p w14:paraId="29D6552B"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35</w:t>
            </w:r>
          </w:p>
        </w:tc>
        <w:tc>
          <w:tcPr>
            <w:tcW w:w="6521" w:type="dxa"/>
          </w:tcPr>
          <w:p w14:paraId="1E8E148F"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具有高级工程师证书的，每个得6分，最高分35分；具有工程师资格的每个得3分，最高分15分。本项满分35分。</w:t>
            </w:r>
          </w:p>
          <w:p w14:paraId="4BB785CB"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证明材料：提供投标前至少连续3个月缴纳社保的证明材料、证书复印件加盖公章。</w:t>
            </w:r>
          </w:p>
        </w:tc>
      </w:tr>
      <w:tr w:rsidR="008524AF" w14:paraId="53C9C29D" w14:textId="77777777" w:rsidTr="007F2AD5">
        <w:trPr>
          <w:jc w:val="center"/>
        </w:trPr>
        <w:tc>
          <w:tcPr>
            <w:tcW w:w="1413" w:type="dxa"/>
            <w:vAlign w:val="center"/>
          </w:tcPr>
          <w:p w14:paraId="12DA593A"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比选报价</w:t>
            </w:r>
          </w:p>
        </w:tc>
        <w:tc>
          <w:tcPr>
            <w:tcW w:w="2126" w:type="dxa"/>
            <w:vAlign w:val="center"/>
          </w:tcPr>
          <w:p w14:paraId="5D9DB653" w14:textId="77777777" w:rsidR="008524AF" w:rsidRDefault="008524AF" w:rsidP="007F2AD5">
            <w:pPr>
              <w:spacing w:line="500" w:lineRule="exact"/>
              <w:jc w:val="center"/>
              <w:rPr>
                <w:rFonts w:ascii="仿宋" w:eastAsia="仿宋" w:hAnsi="仿宋" w:cs="仿宋"/>
                <w:sz w:val="24"/>
              </w:rPr>
            </w:pPr>
            <w:r>
              <w:rPr>
                <w:rFonts w:ascii="仿宋" w:eastAsia="仿宋" w:hAnsi="仿宋" w:cs="仿宋" w:hint="eastAsia"/>
                <w:sz w:val="24"/>
              </w:rPr>
              <w:t>40</w:t>
            </w:r>
          </w:p>
        </w:tc>
        <w:tc>
          <w:tcPr>
            <w:tcW w:w="6521" w:type="dxa"/>
          </w:tcPr>
          <w:p w14:paraId="06686719"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各比选人的比选报折扣以评标基准价为基础，比选报价等于评标</w:t>
            </w:r>
            <w:proofErr w:type="gramStart"/>
            <w:r>
              <w:rPr>
                <w:rFonts w:ascii="仿宋" w:eastAsia="仿宋" w:hAnsi="仿宋" w:cs="仿宋" w:hint="eastAsia"/>
                <w:sz w:val="24"/>
              </w:rPr>
              <w:t>基准价得满分</w:t>
            </w:r>
            <w:proofErr w:type="gramEnd"/>
            <w:r>
              <w:rPr>
                <w:rFonts w:ascii="仿宋" w:eastAsia="仿宋" w:hAnsi="仿宋" w:cs="仿宋" w:hint="eastAsia"/>
                <w:sz w:val="24"/>
              </w:rPr>
              <w:t>40分，比选报价每高于评标基准价1%扣0.2分，扣完为止；比选报价折扣每低于评标基准价1%扣0.1分，扣完为止。</w:t>
            </w:r>
          </w:p>
          <w:p w14:paraId="6E47CE7F" w14:textId="77777777" w:rsidR="008524AF" w:rsidRDefault="008524AF" w:rsidP="007F2AD5">
            <w:pPr>
              <w:spacing w:line="500" w:lineRule="exact"/>
              <w:jc w:val="left"/>
              <w:rPr>
                <w:rFonts w:ascii="仿宋" w:eastAsia="仿宋" w:hAnsi="仿宋" w:cs="仿宋"/>
                <w:sz w:val="24"/>
              </w:rPr>
            </w:pPr>
            <w:r>
              <w:rPr>
                <w:rFonts w:ascii="仿宋" w:eastAsia="仿宋" w:hAnsi="仿宋" w:cs="仿宋" w:hint="eastAsia"/>
                <w:sz w:val="24"/>
              </w:rPr>
              <w:t>备注：基准价计算方法：</w:t>
            </w:r>
            <w:proofErr w:type="gramStart"/>
            <w:r>
              <w:rPr>
                <w:rFonts w:ascii="仿宋" w:eastAsia="仿宋" w:hAnsi="仿宋" w:cs="仿宋" w:hint="eastAsia"/>
                <w:sz w:val="24"/>
              </w:rPr>
              <w:t>当有效比</w:t>
            </w:r>
            <w:proofErr w:type="gramEnd"/>
            <w:r>
              <w:rPr>
                <w:rFonts w:ascii="仿宋" w:eastAsia="仿宋" w:hAnsi="仿宋" w:cs="仿宋" w:hint="eastAsia"/>
                <w:sz w:val="24"/>
              </w:rPr>
              <w:t>选单位&gt;5家，评标基准价=（所有比选人的有效报价之和</w:t>
            </w:r>
            <w:proofErr w:type="gramStart"/>
            <w:r>
              <w:rPr>
                <w:rFonts w:ascii="仿宋" w:eastAsia="仿宋" w:hAnsi="仿宋" w:cs="仿宋" w:hint="eastAsia"/>
                <w:sz w:val="24"/>
              </w:rPr>
              <w:t>—有效</w:t>
            </w:r>
            <w:proofErr w:type="gramEnd"/>
            <w:r>
              <w:rPr>
                <w:rFonts w:ascii="仿宋" w:eastAsia="仿宋" w:hAnsi="仿宋" w:cs="仿宋" w:hint="eastAsia"/>
                <w:sz w:val="24"/>
              </w:rPr>
              <w:t>报价最低价</w:t>
            </w:r>
            <w:proofErr w:type="gramStart"/>
            <w:r>
              <w:rPr>
                <w:rFonts w:ascii="仿宋" w:eastAsia="仿宋" w:hAnsi="仿宋" w:cs="仿宋" w:hint="eastAsia"/>
                <w:sz w:val="24"/>
              </w:rPr>
              <w:t>—有效</w:t>
            </w:r>
            <w:proofErr w:type="gramEnd"/>
            <w:r>
              <w:rPr>
                <w:rFonts w:ascii="仿宋" w:eastAsia="仿宋" w:hAnsi="仿宋" w:cs="仿宋" w:hint="eastAsia"/>
                <w:sz w:val="24"/>
              </w:rPr>
              <w:t>报价</w:t>
            </w:r>
            <w:proofErr w:type="gramStart"/>
            <w:r>
              <w:rPr>
                <w:rFonts w:ascii="仿宋" w:eastAsia="仿宋" w:hAnsi="仿宋" w:cs="仿宋" w:hint="eastAsia"/>
                <w:sz w:val="24"/>
              </w:rPr>
              <w:t>最</w:t>
            </w:r>
            <w:proofErr w:type="gramEnd"/>
            <w:r>
              <w:rPr>
                <w:rFonts w:ascii="仿宋" w:eastAsia="仿宋" w:hAnsi="仿宋" w:cs="仿宋" w:hint="eastAsia"/>
                <w:sz w:val="24"/>
              </w:rPr>
              <w:t>高价）/（有效比选单位—2）；</w:t>
            </w:r>
            <w:proofErr w:type="gramStart"/>
            <w:r>
              <w:rPr>
                <w:rFonts w:ascii="仿宋" w:eastAsia="仿宋" w:hAnsi="仿宋" w:cs="仿宋" w:hint="eastAsia"/>
                <w:sz w:val="24"/>
              </w:rPr>
              <w:t>当有效比</w:t>
            </w:r>
            <w:proofErr w:type="gramEnd"/>
            <w:r>
              <w:rPr>
                <w:rFonts w:ascii="仿宋" w:eastAsia="仿宋" w:hAnsi="仿宋" w:cs="仿宋" w:hint="eastAsia"/>
                <w:sz w:val="24"/>
              </w:rPr>
              <w:t>选单位数≤ 5家，评标基准价=所有比选人的有效报价之和的算术平均值。</w:t>
            </w:r>
          </w:p>
        </w:tc>
      </w:tr>
    </w:tbl>
    <w:p w14:paraId="7E3BF133" w14:textId="77777777" w:rsidR="008524AF" w:rsidRDefault="008524AF" w:rsidP="008524AF">
      <w:pPr>
        <w:rPr>
          <w:rFonts w:ascii="宋体" w:eastAsia="宋体" w:hAnsi="宋体" w:cs="宋体"/>
          <w:sz w:val="28"/>
          <w:szCs w:val="28"/>
        </w:rPr>
      </w:pPr>
    </w:p>
    <w:p w14:paraId="682B39CF" w14:textId="77777777" w:rsidR="00A036B8" w:rsidRPr="008524AF" w:rsidRDefault="00A036B8">
      <w:bookmarkStart w:id="0" w:name="_GoBack"/>
      <w:bookmarkEnd w:id="0"/>
    </w:p>
    <w:sectPr w:rsidR="00A036B8" w:rsidRPr="008524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3E45" w14:textId="77777777" w:rsidR="00CB1E08" w:rsidRDefault="00CB1E08" w:rsidP="008524AF">
      <w:r>
        <w:separator/>
      </w:r>
    </w:p>
  </w:endnote>
  <w:endnote w:type="continuationSeparator" w:id="0">
    <w:p w14:paraId="5BD6D013" w14:textId="77777777" w:rsidR="00CB1E08" w:rsidRDefault="00CB1E08" w:rsidP="0085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8CDD" w14:textId="77777777" w:rsidR="00CB1E08" w:rsidRDefault="00CB1E08" w:rsidP="008524AF">
      <w:r>
        <w:separator/>
      </w:r>
    </w:p>
  </w:footnote>
  <w:footnote w:type="continuationSeparator" w:id="0">
    <w:p w14:paraId="08C939BA" w14:textId="77777777" w:rsidR="00CB1E08" w:rsidRDefault="00CB1E08" w:rsidP="0085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97"/>
    <w:rsid w:val="00543B97"/>
    <w:rsid w:val="008524AF"/>
    <w:rsid w:val="00A036B8"/>
    <w:rsid w:val="00CB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995AB-C0A2-406A-9AB8-EF95516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8524AF"/>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524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8524AF"/>
    <w:rPr>
      <w:sz w:val="18"/>
      <w:szCs w:val="18"/>
    </w:rPr>
  </w:style>
  <w:style w:type="paragraph" w:styleId="a6">
    <w:name w:val="footer"/>
    <w:basedOn w:val="a"/>
    <w:link w:val="a7"/>
    <w:uiPriority w:val="99"/>
    <w:unhideWhenUsed/>
    <w:rsid w:val="008524AF"/>
    <w:pPr>
      <w:tabs>
        <w:tab w:val="center" w:pos="4153"/>
        <w:tab w:val="right" w:pos="8306"/>
      </w:tabs>
      <w:snapToGrid w:val="0"/>
      <w:jc w:val="left"/>
    </w:pPr>
    <w:rPr>
      <w:sz w:val="18"/>
      <w:szCs w:val="18"/>
    </w:rPr>
  </w:style>
  <w:style w:type="character" w:customStyle="1" w:styleId="a7">
    <w:name w:val="页脚 字符"/>
    <w:basedOn w:val="a1"/>
    <w:link w:val="a6"/>
    <w:uiPriority w:val="99"/>
    <w:rsid w:val="008524AF"/>
    <w:rPr>
      <w:sz w:val="18"/>
      <w:szCs w:val="18"/>
    </w:rPr>
  </w:style>
  <w:style w:type="table" w:styleId="a8">
    <w:name w:val="Table Grid"/>
    <w:basedOn w:val="a2"/>
    <w:uiPriority w:val="59"/>
    <w:qFormat/>
    <w:rsid w:val="008524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8524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王英州</dc:creator>
  <cp:keywords/>
  <dc:description/>
  <cp:lastModifiedBy>王英州</cp:lastModifiedBy>
  <cp:revision>2</cp:revision>
  <dcterms:created xsi:type="dcterms:W3CDTF">2022-08-05T07:53:00Z</dcterms:created>
  <dcterms:modified xsi:type="dcterms:W3CDTF">2022-08-05T07:53:00Z</dcterms:modified>
</cp:coreProperties>
</file>