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附件</w:t>
      </w:r>
      <w:r>
        <w:rPr>
          <w:rFonts w:eastAsia="仿宋" w:cs="仿宋"/>
          <w:color w:val="000000"/>
          <w:sz w:val="32"/>
          <w:szCs w:val="32"/>
        </w:rPr>
        <w:t>3</w:t>
      </w:r>
    </w:p>
    <w:p>
      <w:pPr>
        <w:pStyle w:val="2"/>
        <w:jc w:val="center"/>
        <w:rPr>
          <w:rFonts w:ascii="宋体" w:hAnsi="宋体"/>
        </w:rPr>
      </w:pPr>
      <w:r>
        <w:rPr>
          <w:rFonts w:hint="eastAsia"/>
        </w:rPr>
        <w:t>比选办法（综合评估法）</w:t>
      </w:r>
    </w:p>
    <w:tbl>
      <w:tblPr>
        <w:tblStyle w:val="7"/>
        <w:tblW w:w="9465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5"/>
        <w:gridCol w:w="2249"/>
        <w:gridCol w:w="5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条款号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条款内容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2.2.1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分值构成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(总分100分)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资信业绩：</w:t>
            </w:r>
            <w:r>
              <w:rPr>
                <w:rFonts w:hint="eastAsia" w:ascii="仿宋" w:hAnsi="仿宋" w:eastAsia="仿宋" w:cs="宋体"/>
                <w:sz w:val="22"/>
                <w:szCs w:val="22"/>
                <w:u w:val="single"/>
              </w:rPr>
              <w:t>40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分</w:t>
            </w:r>
          </w:p>
          <w:p>
            <w:pPr>
              <w:adjustRightInd w:val="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检测方案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 w:cs="宋体"/>
                <w:sz w:val="22"/>
                <w:szCs w:val="22"/>
                <w:u w:val="single"/>
              </w:rPr>
              <w:t>40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分</w:t>
            </w:r>
          </w:p>
          <w:p>
            <w:pPr>
              <w:adjustRightInd w:val="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比选报价：</w:t>
            </w:r>
            <w:r>
              <w:rPr>
                <w:rFonts w:hint="eastAsia" w:ascii="仿宋" w:hAnsi="仿宋" w:eastAsia="仿宋" w:cs="宋体"/>
                <w:sz w:val="22"/>
                <w:szCs w:val="22"/>
                <w:u w:val="single"/>
              </w:rPr>
              <w:t xml:space="preserve">20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2.2.2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评标基准价计算方法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当有效比选单位＞5家，评标基准价=（所有有效报价之和-有效报价最低价-有效报价最高价）/（有效比选单位-2）；当有效比选单位数≤5家，评标基准价=所有比选人的有效报价之和的算术平均值。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2.2.3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比选报价的偏差率计算公式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偏差率=100% ×（比选人报价- 评标基准价）/评标基准价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条款号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评分因素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资信业绩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40分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服务业绩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日至今每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承接市政工程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检测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业绩：检测费总额达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万以下（不含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万）的加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分；检测费用总额达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万以下（不含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万）的加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分；检测费总额达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万以上的加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分。业绩最多加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证明材料：投标文件内需提供合同协议书复印件并加盖单位公章，时间以合同签订时间为准。(注:上述证明材料中如不能体现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项目市政工程检测部分合同额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，须提供相关证明材料)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项目管理人员配备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（10分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一、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  <w:highlight w:val="none"/>
              </w:rPr>
              <w:t>项目负责人（2分）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项目负责人为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高级工程师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；具备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高级工程师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职称的1分，具备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城市道路桥梁与交通工程专业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高级或以上级别职称得2分，本项满分2分。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证明材料：提供职称证复印件及在本单位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近半年内任意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连续3个月社保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缴纳证明复印件并加盖单位公章（可为分支机构人员，网上打印的社保清单须有加盖社保管理单位电子公章）。不提供或不满足的不得分。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二、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  <w:highlight w:val="none"/>
              </w:rPr>
              <w:t>其他配备人员（不含项目负责人）（8分）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、其他检测人员至少配备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4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人（含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4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人）及以上，人员均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为城市道路桥梁与交通工程专业或相关专业中级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工程师及以上职称，配备齐全得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分，不齐全不得分。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、配备的人员中有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城市道路桥梁与交通工程专业或相关专业高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级及以上职称的，每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人加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分，最多加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12121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证明材料：提供职称证复印件及在本单位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近半年内任意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连续3个月社保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缴纳证明复印件并加盖单位公章（</w:t>
            </w: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  <w:highlight w:val="none"/>
              </w:rPr>
              <w:t>可为分支机构人员，网上打印的社保清单须有加盖社保管理单位电子公章）。不提供或不满足的不得分。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</w:rPr>
              <w:t>注：相关专业人员包含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城市道路桥梁与交通工程</w:t>
            </w: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</w:rPr>
              <w:t>、建筑工程、</w:t>
            </w: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  <w:lang w:val="en-US" w:eastAsia="zh-CN"/>
              </w:rPr>
              <w:t>道路与桥梁</w:t>
            </w: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</w:rPr>
              <w:t>、土木工程、实验测试、工程检测、结构工程等人员</w:t>
            </w:r>
            <w:r>
              <w:rPr>
                <w:rFonts w:hint="eastAsia" w:ascii="仿宋" w:hAnsi="仿宋" w:eastAsia="仿宋" w:cs="宋体"/>
                <w:color w:val="1212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2.2.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市政道路检测方案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分）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检测项目分析（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对工程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eastAsia="zh-CN"/>
              </w:rPr>
              <w:t>市政道路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检测要点和难点的理解独到见解酌情得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～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检测方案（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15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检测方案编制的系统全面性、完整合理性酌情得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～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15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质量安全措施（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10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检测质量和安全保障措施的完整性、合理性酌情得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～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进度及服务保障与承诺（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5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有检测服务保障计划，承诺满足检测要求、保证工期。酌情得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～</w:t>
            </w:r>
            <w:r>
              <w:rPr>
                <w:rFonts w:hint="default" w:ascii="仿宋" w:hAnsi="仿宋" w:eastAsia="仿宋" w:cs="宋体"/>
                <w:color w:val="000000"/>
                <w:sz w:val="22"/>
                <w:szCs w:val="22"/>
                <w:highlight w:val="none"/>
              </w:rPr>
              <w:t xml:space="preserve">5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2.2.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比选报价评分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（20分）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比选报价评分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（20分）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比选报价计算方式：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基准价计算方法：当有效比选单位＞5家，评标基准价=（所有有效报价之和-有效报价最低价-有效报价最高价）/（有效比选单位-2）；当有效比选单位数≤5家，评标基准价=所有比选人的有效报价之和的算术平均值。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1、比选人的比选价Di等于评标基准价D时，得满分20分，每高于D的1%扣0.2分，每低于D的1%扣0.1分，中间值按比例内插。（得分保留小数点后二位，第三位四舍五入）</w:t>
            </w:r>
            <w:bookmarkStart w:id="0" w:name="_GoBack"/>
            <w:bookmarkEnd w:id="0"/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用公式表示如下：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Fi=F－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︱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Di－D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︱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/D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×100×C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式中：Fi—比选人的比选价得分；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F—比选价满分（20分）；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Di—比选人的比选价；</w:t>
            </w:r>
          </w:p>
          <w:p>
            <w:pPr>
              <w:textAlignment w:val="baseline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D—评标基准价；</w:t>
            </w:r>
          </w:p>
          <w:p>
            <w:pPr>
              <w:adjustRightInd w:val="0"/>
              <w:spacing w:line="340" w:lineRule="exact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若Di＞D，则C=0.2；若Di&lt; D，则C=0.1。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GRlNjZmMzQyOTI2MzAwODEzNTYyYTJmOTVlOGYifQ=="/>
  </w:docVars>
  <w:rsids>
    <w:rsidRoot w:val="00000000"/>
    <w:rsid w:val="20CA2754"/>
    <w:rsid w:val="28EE01E0"/>
    <w:rsid w:val="40630425"/>
    <w:rsid w:val="57F35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autoRedefine/>
    <w:qFormat/>
    <w:uiPriority w:val="0"/>
    <w:pPr>
      <w:spacing w:after="0" w:line="460" w:lineRule="exact"/>
      <w:ind w:left="0" w:leftChars="0" w:firstLine="420" w:firstLineChars="200"/>
    </w:pPr>
    <w:rPr>
      <w:rFonts w:ascii="宋体" w:hAnsi="宋体"/>
      <w:sz w:val="24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1 Char"/>
    <w:basedOn w:val="9"/>
    <w:link w:val="2"/>
    <w:autoRedefine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1187</Words>
  <Characters>1280</Characters>
  <Lines>10</Lines>
  <Paragraphs>2</Paragraphs>
  <TotalTime>93</TotalTime>
  <ScaleCrop>false</ScaleCrop>
  <LinksUpToDate>false</LinksUpToDate>
  <CharactersWithSpaces>1305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2022-10-20T19:26:00Z</dcterms:created>
  <dc:creator>ThinkPad</dc:creator>
  <cp:lastModifiedBy>Lenovo</cp:lastModifiedBy>
  <cp:lastPrinted>2024-05-23T03:27:00Z</cp:lastPrinted>
  <dcterms:modified xsi:type="dcterms:W3CDTF">2024-05-27T04:18:22Z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4A87B66FA76C41D9B32B385E5939E3D8_13</vt:lpwstr>
  </property>
</Properties>
</file>