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71" w:rsidRDefault="008B1071" w:rsidP="008B1071">
      <w:pPr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附件</w:t>
      </w:r>
      <w:r>
        <w:rPr>
          <w:rFonts w:eastAsia="仿宋" w:cs="仿宋" w:hint="eastAsia"/>
          <w:color w:val="000000"/>
          <w:sz w:val="32"/>
          <w:szCs w:val="32"/>
        </w:rPr>
        <w:t>3</w:t>
      </w:r>
    </w:p>
    <w:p w:rsidR="008B1071" w:rsidRDefault="008B1071" w:rsidP="008B1071">
      <w:pPr>
        <w:keepNext/>
        <w:keepLines/>
        <w:spacing w:before="340" w:after="330" w:line="576" w:lineRule="auto"/>
        <w:jc w:val="center"/>
        <w:outlineLvl w:val="0"/>
        <w:rPr>
          <w:rFonts w:ascii="宋体" w:hAnsi="宋体"/>
          <w:b/>
          <w:kern w:val="44"/>
          <w:sz w:val="44"/>
          <w:szCs w:val="44"/>
        </w:rPr>
      </w:pPr>
      <w:r>
        <w:rPr>
          <w:rFonts w:hint="eastAsia"/>
          <w:b/>
          <w:kern w:val="44"/>
          <w:sz w:val="44"/>
          <w:szCs w:val="44"/>
        </w:rPr>
        <w:t>比选办法（综合评估法）</w:t>
      </w:r>
      <w:r>
        <w:rPr>
          <w:rFonts w:hint="eastAsia"/>
          <w:b/>
          <w:kern w:val="44"/>
          <w:sz w:val="44"/>
          <w:szCs w:val="44"/>
        </w:rPr>
        <w:t xml:space="preserve"> </w:t>
      </w:r>
    </w:p>
    <w:tbl>
      <w:tblPr>
        <w:tblW w:w="92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63"/>
        <w:gridCol w:w="1984"/>
        <w:gridCol w:w="5101"/>
      </w:tblGrid>
      <w:tr w:rsidR="008B1071" w:rsidTr="00DA283D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条款号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条款内容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编列内容</w:t>
            </w:r>
          </w:p>
        </w:tc>
      </w:tr>
      <w:tr w:rsidR="008B1071" w:rsidTr="00DA283D">
        <w:trPr>
          <w:trHeight w:val="92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分值构成</w:t>
            </w: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(总分100分)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资信业绩：</w:t>
            </w:r>
            <w:r>
              <w:rPr>
                <w:rFonts w:ascii="宋体" w:hAnsi="宋体" w:cs="宋体"/>
                <w:sz w:val="22"/>
                <w:u w:val="single"/>
              </w:rPr>
              <w:t>35</w:t>
            </w:r>
            <w:r>
              <w:rPr>
                <w:rFonts w:ascii="宋体" w:hAnsi="宋体" w:cs="宋体" w:hint="eastAsia"/>
                <w:sz w:val="22"/>
              </w:rPr>
              <w:t>分</w:t>
            </w:r>
          </w:p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初步设计编制服务方案：</w:t>
            </w:r>
            <w:r>
              <w:rPr>
                <w:rFonts w:ascii="宋体" w:hAnsi="宋体" w:cs="宋体" w:hint="eastAsia"/>
                <w:sz w:val="22"/>
                <w:u w:val="single"/>
              </w:rPr>
              <w:t>50</w:t>
            </w:r>
            <w:r>
              <w:rPr>
                <w:rFonts w:ascii="宋体" w:hAnsi="宋体" w:cs="宋体" w:hint="eastAsia"/>
                <w:sz w:val="22"/>
              </w:rPr>
              <w:t>分</w:t>
            </w:r>
          </w:p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比选报价：</w:t>
            </w:r>
            <w:r>
              <w:rPr>
                <w:rFonts w:ascii="宋体" w:hAnsi="宋体" w:cs="宋体"/>
                <w:sz w:val="22"/>
                <w:u w:val="single"/>
              </w:rPr>
              <w:t>15</w:t>
            </w:r>
            <w:r>
              <w:rPr>
                <w:rFonts w:ascii="宋体" w:hAnsi="宋体" w:cs="宋体" w:hint="eastAsia"/>
                <w:sz w:val="22"/>
              </w:rPr>
              <w:t>分</w:t>
            </w:r>
          </w:p>
        </w:tc>
      </w:tr>
      <w:tr w:rsidR="008B1071" w:rsidTr="00DA283D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2.2.2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比选基准价（基准价）计算方法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所有比选人的有效比选报价算术平均值即为基准价（如果参与比选价平均值计算的有效比选人超过5家（不含）时，去掉1个最高报价值和1个最低报价值后取平均）。</w:t>
            </w:r>
          </w:p>
        </w:tc>
      </w:tr>
      <w:tr w:rsidR="008B1071" w:rsidTr="00DA283D">
        <w:trPr>
          <w:trHeight w:val="90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2.2.3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比选报价的偏差率</w:t>
            </w: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计算公式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偏差率=100% ×（比选人报价- 比选基准价）/比选基准价</w:t>
            </w:r>
          </w:p>
        </w:tc>
      </w:tr>
      <w:tr w:rsidR="008B1071" w:rsidTr="00DA283D"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条款号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评分因素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评分标准</w:t>
            </w:r>
          </w:p>
        </w:tc>
      </w:tr>
      <w:tr w:rsidR="008B1071" w:rsidTr="00DA283D"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企业实力（</w:t>
            </w:r>
            <w:r>
              <w:rPr>
                <w:rFonts w:ascii="宋体" w:hAnsi="宋体" w:cs="宋体"/>
                <w:sz w:val="22"/>
              </w:rPr>
              <w:t>8</w:t>
            </w:r>
            <w:r>
              <w:rPr>
                <w:rFonts w:ascii="宋体" w:hAnsi="宋体" w:cs="宋体" w:hint="eastAsia"/>
                <w:sz w:val="22"/>
              </w:rPr>
              <w:t>分）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1.供应商具有CMMI5级认证证书得</w:t>
            </w: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ascii="宋体" w:hAnsi="宋体" w:cs="宋体" w:hint="eastAsia"/>
                <w:sz w:val="22"/>
              </w:rPr>
              <w:t>分，具有CMMI4级认证证书得</w:t>
            </w:r>
            <w:r>
              <w:rPr>
                <w:rFonts w:ascii="宋体" w:hAnsi="宋体" w:cs="宋体"/>
                <w:sz w:val="22"/>
              </w:rPr>
              <w:t>2</w:t>
            </w:r>
            <w:r>
              <w:rPr>
                <w:rFonts w:ascii="宋体" w:hAnsi="宋体" w:cs="宋体" w:hint="eastAsia"/>
                <w:sz w:val="22"/>
              </w:rPr>
              <w:t>分，具有CMMI3级及以下认证证书得1分，不提供不得分。</w:t>
            </w:r>
          </w:p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2.具有中国网络安全审查技术与认证中心颁发的信息安全服务资质（风险评估）二级以上证书得2分，三级证书得1分，不提供不得分。</w:t>
            </w:r>
          </w:p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ascii="宋体" w:hAnsi="宋体" w:cs="宋体" w:hint="eastAsia"/>
                <w:sz w:val="22"/>
              </w:rPr>
              <w:t>. 供应商具有安防工程企业设计施工维护能力证书壹级得3分，贰级得2分，叁级得1分，不提供不得分。</w:t>
            </w:r>
          </w:p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(需提供证书复印件加盖公章为依据)</w:t>
            </w:r>
          </w:p>
        </w:tc>
      </w:tr>
      <w:tr w:rsidR="008B1071" w:rsidTr="00DA283D"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2.2.4.1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设计服务业绩（</w:t>
            </w:r>
            <w:r>
              <w:rPr>
                <w:rFonts w:ascii="宋体" w:hAnsi="宋体" w:cs="宋体"/>
                <w:sz w:val="22"/>
              </w:rPr>
              <w:t>4</w:t>
            </w:r>
            <w:r>
              <w:rPr>
                <w:rFonts w:ascii="宋体" w:hAnsi="宋体" w:cs="宋体" w:hint="eastAsia"/>
                <w:sz w:val="22"/>
              </w:rPr>
              <w:t>分）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投标人自201</w:t>
            </w:r>
            <w:r>
              <w:rPr>
                <w:rFonts w:ascii="宋体" w:hAnsi="宋体" w:cs="宋体"/>
                <w:sz w:val="22"/>
              </w:rPr>
              <w:t>8</w:t>
            </w:r>
            <w:r>
              <w:rPr>
                <w:rFonts w:ascii="宋体" w:hAnsi="宋体" w:cs="宋体" w:hint="eastAsia"/>
                <w:sz w:val="22"/>
              </w:rPr>
              <w:t>年1月1日至今承接过类似项目（综合保税区或海关）设计，每承接过一个得</w:t>
            </w:r>
            <w:r>
              <w:rPr>
                <w:rFonts w:ascii="宋体" w:hAnsi="宋体" w:cs="宋体"/>
                <w:sz w:val="22"/>
              </w:rPr>
              <w:t>1</w:t>
            </w:r>
            <w:r>
              <w:rPr>
                <w:rFonts w:ascii="宋体" w:hAnsi="宋体" w:cs="宋体" w:hint="eastAsia"/>
                <w:sz w:val="22"/>
              </w:rPr>
              <w:t>分，最多得</w:t>
            </w:r>
            <w:r>
              <w:rPr>
                <w:rFonts w:ascii="宋体" w:hAnsi="宋体" w:cs="宋体"/>
                <w:sz w:val="22"/>
              </w:rPr>
              <w:t>4</w:t>
            </w:r>
            <w:r>
              <w:rPr>
                <w:rFonts w:ascii="宋体" w:hAnsi="宋体" w:cs="宋体" w:hint="eastAsia"/>
                <w:sz w:val="22"/>
              </w:rPr>
              <w:t>分。</w:t>
            </w:r>
          </w:p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证明材料：提供设计合同（关键页）证明或有效证明材料复印件加盖公章，不提供不得分。</w:t>
            </w:r>
          </w:p>
        </w:tc>
      </w:tr>
      <w:tr w:rsidR="008B1071" w:rsidTr="00DA283D">
        <w:trPr>
          <w:trHeight w:val="18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资信业绩</w:t>
            </w:r>
          </w:p>
          <w:p w:rsidR="008B1071" w:rsidRDefault="008B1071" w:rsidP="00DA283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35</w:t>
            </w:r>
            <w:r>
              <w:rPr>
                <w:rFonts w:ascii="宋体" w:hAnsi="宋体" w:cs="宋体" w:hint="eastAsia"/>
                <w:sz w:val="22"/>
              </w:rPr>
              <w:t>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项目负责人资历</w:t>
            </w: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5</w:t>
            </w:r>
            <w:r>
              <w:rPr>
                <w:rFonts w:ascii="宋体" w:hAnsi="宋体" w:cs="宋体" w:hint="eastAsia"/>
                <w:sz w:val="22"/>
              </w:rPr>
              <w:t>分）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项目负责人水平：持有高级工程师、一级注册建造师（通信与广电工程）、信息系统项目管理师（高级）、CISP、CISAW证书, 提供证书齐全得</w:t>
            </w:r>
            <w:r>
              <w:rPr>
                <w:rFonts w:ascii="宋体" w:hAnsi="宋体" w:cs="宋体"/>
                <w:sz w:val="22"/>
              </w:rPr>
              <w:t>5</w:t>
            </w:r>
            <w:r>
              <w:rPr>
                <w:rFonts w:ascii="宋体" w:hAnsi="宋体" w:cs="宋体" w:hint="eastAsia"/>
                <w:sz w:val="22"/>
              </w:rPr>
              <w:t>分, 少一项扣</w:t>
            </w:r>
            <w:r>
              <w:rPr>
                <w:rFonts w:ascii="宋体" w:hAnsi="宋体" w:cs="宋体"/>
                <w:sz w:val="22"/>
              </w:rPr>
              <w:t>1</w:t>
            </w:r>
            <w:r>
              <w:rPr>
                <w:rFonts w:ascii="宋体" w:hAnsi="宋体" w:cs="宋体" w:hint="eastAsia"/>
                <w:sz w:val="22"/>
              </w:rPr>
              <w:t>分, 扣完为止。</w:t>
            </w:r>
          </w:p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证明材料：提供证书复印件加盖公章，不提供不得分；提供社保部门出具的2022年任意一个月人员本单位社保缴费证明复印件加盖公章，不提供不得分。</w:t>
            </w:r>
          </w:p>
        </w:tc>
      </w:tr>
      <w:tr w:rsidR="008B1071" w:rsidTr="00DA283D"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项目技术负责人资历</w:t>
            </w: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5</w:t>
            </w:r>
            <w:r>
              <w:rPr>
                <w:rFonts w:ascii="宋体" w:hAnsi="宋体" w:cs="宋体" w:hint="eastAsia"/>
                <w:sz w:val="22"/>
              </w:rPr>
              <w:t>分）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项目技术负责人水平：持有高级工程师、信息系统项目管理师（高级）、系统架构设计师（高级）、软件设计师（中级）、系统集成项目管理工程师（中级）、</w:t>
            </w:r>
            <w:r>
              <w:rPr>
                <w:rFonts w:ascii="宋体" w:hAnsi="宋体" w:cs="宋体" w:hint="eastAsia"/>
                <w:sz w:val="22"/>
              </w:rPr>
              <w:lastRenderedPageBreak/>
              <w:t xml:space="preserve">软件工程造价师, 提供证书齐全得5分, 少一项扣1分, 扣完为止。 </w:t>
            </w:r>
          </w:p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证明材料：提供证书复印件加盖公章，不提供不得分；提供社保部门出具的2022年任意一个月人员本单位社保缴费证明复印件加盖公章，不提供不得分。</w:t>
            </w:r>
          </w:p>
        </w:tc>
      </w:tr>
      <w:tr w:rsidR="008B1071" w:rsidTr="00DA283D"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其他人员配备与资历（1</w:t>
            </w: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ascii="宋体" w:hAnsi="宋体" w:cs="宋体" w:hint="eastAsia"/>
                <w:sz w:val="22"/>
              </w:rPr>
              <w:t>分）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除拟派项目负责人、技术负责人之外，投标人拟派本项目服务团队人员中：</w:t>
            </w:r>
          </w:p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1.安全负责人同时具备系统规划与管理师（高级）、国际信息系统审计师（CISA）、CISSP证书、CISP证书，提供证书齐全得3分, 少一项扣1分, 扣完为止；</w:t>
            </w:r>
          </w:p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2.具备系统分析师（高级）或系统架构设计师（高级）证书，每提供1人得2分，否则不得分，最高计4分；</w:t>
            </w:r>
          </w:p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3.数据库系统工程师（中级）或网络工程师（中级），每提供1人得</w:t>
            </w:r>
            <w:r>
              <w:rPr>
                <w:rFonts w:ascii="宋体" w:hAnsi="宋体" w:cs="宋体"/>
                <w:sz w:val="22"/>
              </w:rPr>
              <w:t>2</w:t>
            </w:r>
            <w:r>
              <w:rPr>
                <w:rFonts w:ascii="宋体" w:hAnsi="宋体" w:cs="宋体" w:hint="eastAsia"/>
                <w:sz w:val="22"/>
              </w:rPr>
              <w:t>分，否则不得分，满分</w:t>
            </w:r>
            <w:r>
              <w:rPr>
                <w:rFonts w:ascii="宋体" w:hAnsi="宋体" w:cs="宋体"/>
                <w:sz w:val="22"/>
              </w:rPr>
              <w:t>2</w:t>
            </w:r>
            <w:r>
              <w:rPr>
                <w:rFonts w:ascii="宋体" w:hAnsi="宋体" w:cs="宋体" w:hint="eastAsia"/>
                <w:sz w:val="22"/>
              </w:rPr>
              <w:t>分；</w:t>
            </w:r>
          </w:p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4.高级工程师，每提供1人得2分，满分4分。</w:t>
            </w:r>
          </w:p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注：同一人员的不同证书不重复计算得分。</w:t>
            </w:r>
          </w:p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证明材料：提供证书复印件加盖公章，不提供不得分；提供社保部门出具的2022年任意一个月人员本单位社保缴费证明复印件加盖公章，不提供不得分。</w:t>
            </w:r>
          </w:p>
        </w:tc>
      </w:tr>
      <w:tr w:rsidR="008B1071" w:rsidTr="00DA283D">
        <w:trPr>
          <w:trHeight w:val="12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2.2.4.2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1071" w:rsidRDefault="008B1071" w:rsidP="00DA283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对本项目的总体理解（</w:t>
            </w:r>
            <w:r>
              <w:rPr>
                <w:rFonts w:ascii="宋体" w:hAnsi="宋体" w:cs="宋体"/>
                <w:sz w:val="22"/>
              </w:rPr>
              <w:t>1</w:t>
            </w:r>
            <w:r>
              <w:rPr>
                <w:rFonts w:ascii="宋体" w:hAnsi="宋体" w:cs="宋体" w:hint="eastAsia"/>
                <w:sz w:val="22"/>
              </w:rPr>
              <w:t>5分）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对海口综合保税区智慧园区（以下简称本项目）建设总体背景、项目建设目标、项目建设总体框架等理解全面性和准确性评价：</w:t>
            </w:r>
          </w:p>
          <w:p w:rsidR="008B1071" w:rsidRDefault="008B1071" w:rsidP="00DA283D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优秀：方案详细全面，对本项目建设总体背景理解充分，能够对建设目标、项目建设总体框架进行描述，能够满足招标技术规范要求，得</w:t>
            </w:r>
            <w:r>
              <w:rPr>
                <w:rFonts w:ascii="宋体" w:hAnsi="宋体" w:cs="宋体"/>
                <w:color w:val="000000" w:themeColor="text1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5-10分；较好：方案较详细，对本项目建设总体背景有基本理解，能够对建设目标、项目建设总体框架适当展开，基本满足招标技术规范要求，得9-</w:t>
            </w:r>
            <w:r>
              <w:rPr>
                <w:rFonts w:ascii="宋体" w:hAnsi="宋体" w:cs="宋体"/>
                <w:color w:val="000000" w:themeColor="text1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分；一般：对本项目建设总体背景有基本理解，未对建设目标、项目建设总体框架展开，得</w:t>
            </w:r>
            <w:r>
              <w:rPr>
                <w:rFonts w:ascii="宋体" w:hAnsi="宋体" w:cs="宋体"/>
                <w:color w:val="000000" w:themeColor="text1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-1分，不提供不得分。</w:t>
            </w:r>
          </w:p>
        </w:tc>
      </w:tr>
      <w:tr w:rsidR="008B1071" w:rsidTr="00DA283D">
        <w:trPr>
          <w:trHeight w:val="148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071" w:rsidRDefault="008B1071" w:rsidP="00DA283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设计方案需求分析和建设方案的全面性和准确性</w:t>
            </w:r>
          </w:p>
          <w:p w:rsidR="008B1071" w:rsidRDefault="008B1071" w:rsidP="00DA283D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（15分）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对本项目设计方案需求分析和建设方案的全面性和准确性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评价：</w:t>
            </w:r>
          </w:p>
          <w:p w:rsidR="008B1071" w:rsidRDefault="008B1071" w:rsidP="00DA283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优秀：需求分析全面、建设方案内容描述详细且针对性强，得15-10分；较好：需求分析较为全面、建设方案内容描述基本完整，但针对性不强，得9-</w:t>
            </w:r>
            <w:r>
              <w:rPr>
                <w:rFonts w:ascii="宋体" w:hAnsi="宋体" w:cs="宋体"/>
                <w:color w:val="000000" w:themeColor="text1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分；一般：需求分析欠缺、建设方案内容描述不完整，针对性不强，得</w:t>
            </w:r>
            <w:r>
              <w:rPr>
                <w:rFonts w:ascii="宋体" w:hAnsi="宋体" w:cs="宋体"/>
                <w:color w:val="000000" w:themeColor="text1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-1分，不提供不得分。</w:t>
            </w:r>
          </w:p>
        </w:tc>
      </w:tr>
      <w:tr w:rsidR="008B1071" w:rsidTr="00DA283D">
        <w:trPr>
          <w:trHeight w:val="116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071" w:rsidRDefault="008B1071" w:rsidP="00DA283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初步设计编制服务方案</w:t>
            </w:r>
          </w:p>
          <w:p w:rsidR="008B1071" w:rsidRDefault="008B1071" w:rsidP="00DA283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（50分）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设计服务实施计划和质量服务保障措施的合理性和可靠性（10分）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设计服务实施计划和质量服务保障措施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的合理性和可靠性评价：优得10-8分；良得7-5分；一般得4-0分；不提供不得分。</w:t>
            </w:r>
          </w:p>
        </w:tc>
      </w:tr>
      <w:tr w:rsidR="008B1071" w:rsidTr="00DA283D">
        <w:trPr>
          <w:trHeight w:val="53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071" w:rsidRDefault="008B1071" w:rsidP="00DA283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进度控制措施和团队保障措施的合理性和可靠性（10分）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进度控制措施和团队保障措施的合理性和可靠性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评价：优得10-8分；良得7-5分；一般得4-0分；不提供不得分。</w:t>
            </w:r>
          </w:p>
        </w:tc>
      </w:tr>
      <w:tr w:rsidR="008B1071" w:rsidTr="00DA28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2.2.5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比选报价</w:t>
            </w:r>
          </w:p>
          <w:p w:rsidR="008B1071" w:rsidRDefault="008B1071" w:rsidP="00DA283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15</w:t>
            </w:r>
            <w:r>
              <w:rPr>
                <w:rFonts w:ascii="宋体" w:hAnsi="宋体" w:cs="宋体" w:hint="eastAsia"/>
                <w:sz w:val="22"/>
              </w:rPr>
              <w:t>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比选报价评分</w:t>
            </w:r>
          </w:p>
          <w:p w:rsidR="008B1071" w:rsidRDefault="008B1071" w:rsidP="00DA283D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15</w:t>
            </w:r>
            <w:r>
              <w:rPr>
                <w:rFonts w:ascii="宋体" w:hAnsi="宋体" w:cs="宋体" w:hint="eastAsia"/>
                <w:sz w:val="22"/>
              </w:rPr>
              <w:t>分）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1" w:rsidRDefault="008B1071" w:rsidP="00DA283D">
            <w:pPr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比选报价计算方式：</w:t>
            </w:r>
          </w:p>
          <w:p w:rsidR="008B1071" w:rsidRDefault="008B1071" w:rsidP="00DA283D">
            <w:pPr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基准价计算方法：当有效比选单位＞5家，比选基准价=（所有有效报价之和-有效报价最低价-有效报价最高价）/（有效投标单位-2）；当有效比选单位数≤5家，比选基准价=所有比选人的有效报价之和的算术平均值。</w:t>
            </w:r>
          </w:p>
          <w:p w:rsidR="008B1071" w:rsidRDefault="008B1071" w:rsidP="00DA283D">
            <w:pPr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1、比选人的比选价Di等于比选基准价D时，得满分</w:t>
            </w:r>
            <w:r>
              <w:rPr>
                <w:rFonts w:ascii="宋体" w:hAnsi="宋体" w:cs="宋体"/>
                <w:color w:val="000000" w:themeColor="text1"/>
                <w:sz w:val="22"/>
              </w:rPr>
              <w:t>15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分，每高于D的1%扣0.2分，每低于D的1%扣0.1分，中间值按比例内插。（得分保留小数点后二位，第三位四舍五入）</w:t>
            </w:r>
          </w:p>
          <w:p w:rsidR="008B1071" w:rsidRDefault="008B1071" w:rsidP="00DA283D">
            <w:pPr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用公式表示如下：</w:t>
            </w:r>
          </w:p>
          <w:p w:rsidR="008B1071" w:rsidRDefault="008B1071" w:rsidP="00DA283D">
            <w:pPr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Fi=F－（Di－D）×100×C</w:t>
            </w:r>
          </w:p>
          <w:p w:rsidR="008B1071" w:rsidRDefault="008B1071" w:rsidP="00DA283D">
            <w:pPr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式中：Fi—比选人的比选价得分；</w:t>
            </w:r>
          </w:p>
          <w:p w:rsidR="008B1071" w:rsidRDefault="008B1071" w:rsidP="00DA283D">
            <w:pPr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F—比选价满分（</w:t>
            </w:r>
            <w:r>
              <w:rPr>
                <w:rFonts w:ascii="宋体" w:hAnsi="宋体" w:cs="宋体"/>
                <w:color w:val="000000" w:themeColor="text1"/>
                <w:sz w:val="22"/>
              </w:rPr>
              <w:t>15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分）；</w:t>
            </w:r>
          </w:p>
          <w:p w:rsidR="008B1071" w:rsidRDefault="008B1071" w:rsidP="00DA283D">
            <w:pPr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Di—比选人的比选价；</w:t>
            </w:r>
          </w:p>
          <w:p w:rsidR="008B1071" w:rsidRDefault="008B1071" w:rsidP="00DA283D">
            <w:pPr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D—比选基准价；</w:t>
            </w:r>
          </w:p>
          <w:p w:rsidR="008B1071" w:rsidRDefault="008B1071" w:rsidP="00DA283D"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若Di＞D，则C=0.2；若Di&lt; D，则C=0.1。</w:t>
            </w:r>
          </w:p>
        </w:tc>
      </w:tr>
    </w:tbl>
    <w:p w:rsidR="00320C5D" w:rsidRPr="008B1071" w:rsidRDefault="00320C5D" w:rsidP="008B1071">
      <w:bookmarkStart w:id="0" w:name="_GoBack"/>
      <w:bookmarkEnd w:id="0"/>
    </w:p>
    <w:sectPr w:rsidR="00320C5D" w:rsidRPr="008B1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B3" w:rsidRDefault="00642DB3" w:rsidP="006F660A">
      <w:r>
        <w:separator/>
      </w:r>
    </w:p>
  </w:endnote>
  <w:endnote w:type="continuationSeparator" w:id="0">
    <w:p w:rsidR="00642DB3" w:rsidRDefault="00642DB3" w:rsidP="006F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B3" w:rsidRDefault="00642DB3" w:rsidP="006F660A">
      <w:r>
        <w:separator/>
      </w:r>
    </w:p>
  </w:footnote>
  <w:footnote w:type="continuationSeparator" w:id="0">
    <w:p w:rsidR="00642DB3" w:rsidRDefault="00642DB3" w:rsidP="006F6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69"/>
    <w:rsid w:val="002718B8"/>
    <w:rsid w:val="00320C5D"/>
    <w:rsid w:val="00421A29"/>
    <w:rsid w:val="00474115"/>
    <w:rsid w:val="004B1F1F"/>
    <w:rsid w:val="00642DB3"/>
    <w:rsid w:val="006F660A"/>
    <w:rsid w:val="00784EB5"/>
    <w:rsid w:val="008B1071"/>
    <w:rsid w:val="00C95869"/>
    <w:rsid w:val="00DC372F"/>
    <w:rsid w:val="00F6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71F97-9D8B-42AA-8171-44B26CBC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F660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60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660A"/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Style3">
    <w:name w:val="_Style 3"/>
    <w:uiPriority w:val="1"/>
    <w:qFormat/>
    <w:rsid w:val="002718B8"/>
    <w:pPr>
      <w:widowControl w:val="0"/>
      <w:jc w:val="both"/>
    </w:pPr>
    <w:rPr>
      <w:rFonts w:ascii="Times New Roman" w:eastAsia="宋体" w:hAnsi="Times New Roman" w:cs="Times New Roman"/>
    </w:rPr>
  </w:style>
  <w:style w:type="table" w:styleId="a5">
    <w:name w:val="Table Grid"/>
    <w:uiPriority w:val="59"/>
    <w:qFormat/>
    <w:rsid w:val="0027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7</cp:revision>
  <dcterms:created xsi:type="dcterms:W3CDTF">2022-08-31T13:24:00Z</dcterms:created>
  <dcterms:modified xsi:type="dcterms:W3CDTF">2022-09-26T07:42:00Z</dcterms:modified>
</cp:coreProperties>
</file>