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1008"/>
        <w:tblOverlap w:val="never"/>
        <w:tblW w:w="1589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839"/>
        <w:gridCol w:w="451"/>
        <w:gridCol w:w="9522"/>
        <w:gridCol w:w="1287"/>
        <w:gridCol w:w="1411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5891" w:type="dxa"/>
            <w:gridSpan w:val="7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" w:cs="仿宋"/>
                <w:b/>
                <w:color w:val="000000"/>
                <w:kern w:val="0"/>
                <w:sz w:val="36"/>
                <w:szCs w:val="36"/>
                <w:lang w:val="en-US" w:bidi="ar"/>
              </w:rPr>
            </w:pPr>
            <w:r>
              <w:rPr>
                <w:rFonts w:hint="eastAsia"/>
                <w:sz w:val="28"/>
                <w:szCs w:val="36"/>
              </w:rPr>
              <w:t>海口</w:t>
            </w:r>
            <w:r>
              <w:rPr>
                <w:rFonts w:hint="eastAsia"/>
                <w:sz w:val="28"/>
                <w:szCs w:val="36"/>
                <w:lang w:eastAsia="zh-CN"/>
              </w:rPr>
              <w:t>综保区管委会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2021-2023年委托经营资产收益情况</w:t>
            </w:r>
            <w:r>
              <w:rPr>
                <w:rFonts w:hint="eastAsia"/>
                <w:sz w:val="28"/>
                <w:szCs w:val="36"/>
                <w:lang w:eastAsia="zh-CN"/>
              </w:rPr>
              <w:t>及乡村振兴工作资金审计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项目</w:t>
            </w:r>
            <w:r>
              <w:rPr>
                <w:rFonts w:hint="eastAsia"/>
                <w:sz w:val="28"/>
                <w:szCs w:val="36"/>
              </w:rPr>
              <w:t>服务商比选评分方案（100分）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45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39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评审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因素</w:t>
            </w:r>
          </w:p>
        </w:tc>
        <w:tc>
          <w:tcPr>
            <w:tcW w:w="451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9522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评分标准</w:t>
            </w:r>
          </w:p>
        </w:tc>
        <w:tc>
          <w:tcPr>
            <w:tcW w:w="1287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/>
                <w:color w:val="000000"/>
                <w:kern w:val="0"/>
                <w:sz w:val="22"/>
                <w:szCs w:val="22"/>
                <w:lang w:val="en-US" w:bidi="ar"/>
              </w:rPr>
            </w:pPr>
          </w:p>
        </w:tc>
        <w:tc>
          <w:tcPr>
            <w:tcW w:w="1836" w:type="dxa"/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eastAsia="仿宋" w:cs="仿宋"/>
                <w:b/>
                <w:color w:val="000000"/>
                <w:kern w:val="0"/>
                <w:sz w:val="24"/>
                <w:szCs w:val="24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5" w:hRule="atLeast"/>
          <w:tblCellSpacing w:w="0" w:type="dxa"/>
        </w:trPr>
        <w:tc>
          <w:tcPr>
            <w:tcW w:w="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8"/>
                <w:szCs w:val="28"/>
                <w:lang w:bidi="ar"/>
              </w:rPr>
              <w:t>价格评议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5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highlight w:val="none"/>
              </w:rPr>
              <w:t xml:space="preserve">所有参选单位的有效参选报价算术平均值即为基准价（如果参与评标价平均值计算的有效参选单位超过5家（不含）时，去掉1个最高值和1个最低值后取平均）。参选单位以元为单位报价，报价保留小数点后两位。评标得分保留2位小数，小数点后第3位四舍五入。偏差率=100%×（参选单位报价--评标基准价）/评标基准价                                                                                                                                                                   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highlight w:val="none"/>
              </w:rPr>
              <w:t>（1）如果投标人的评标价＞评标基准价，则评标价得分=F-偏差率×100×E1；（2）如果投标人的评标价≤评标基准价，则评标价得分=F+偏差率×100×E2；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仿宋" w:cs="仿宋"/>
                <w:bCs/>
                <w:sz w:val="24"/>
                <w:szCs w:val="24"/>
                <w:highlight w:val="none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highlight w:val="none"/>
              </w:rPr>
              <w:t>其中：F为投标报价满分值；E1是评标价每高于评标基准价一个百分点的扣分值；E2是评标价每低于评标基准价一个百分点的扣分值。E1=0.1，E2=0.2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highlight w:val="none"/>
              </w:rPr>
              <w:t>在评标过程中，参选单位的报价明显低于其他通过符合性审查投标人的报价，有可能影响产品质量或者不能诚信履约的，应当要求其在合理的时间内提供书面说明，必要时提交相关证明材料；参选人不能证明其报价合理性的，比选小组应当将其作为无效投标处理。</w:t>
            </w:r>
          </w:p>
        </w:tc>
        <w:tc>
          <w:tcPr>
            <w:tcW w:w="12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</w:rPr>
              <w:t>类</w:t>
            </w:r>
            <w:r>
              <w:rPr>
                <w:rFonts w:hint="eastAsia" w:ascii="Times New Roman" w:hAnsi="Times New Roman" w:eastAsia="仿宋" w:cs="仿宋"/>
                <w:bCs/>
                <w:color w:val="auto"/>
                <w:sz w:val="28"/>
                <w:szCs w:val="28"/>
                <w:highlight w:val="none"/>
              </w:rPr>
              <w:t>似项目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</w:rPr>
              <w:t>合同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" w:cs="仿宋"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</w:rPr>
              <w:t>参选单位</w:t>
            </w:r>
            <w:r>
              <w:rPr>
                <w:rFonts w:hint="eastAsia" w:ascii="Times New Roman" w:hAnsi="Times New Roman" w:eastAsia="仿宋" w:cs="仿宋"/>
                <w:bCs/>
                <w:sz w:val="24"/>
                <w:lang w:eastAsia="zh-CN"/>
              </w:rPr>
              <w:t>提供近三年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类似项目案例</w:t>
            </w:r>
            <w:r>
              <w:rPr>
                <w:rFonts w:hint="eastAsia" w:ascii="Times New Roman" w:hAnsi="Times New Roman" w:eastAsia="仿宋" w:cs="仿宋"/>
                <w:bCs/>
                <w:sz w:val="24"/>
                <w:lang w:eastAsia="zh-CN"/>
              </w:rPr>
              <w:t>业绩及相应佐证材料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(</w:t>
            </w:r>
            <w:r>
              <w:rPr>
                <w:rFonts w:hint="eastAsia" w:ascii="Times New Roman" w:hAnsi="Times New Roman" w:eastAsia="仿宋" w:cs="仿宋"/>
                <w:bCs/>
                <w:sz w:val="24"/>
                <w:lang w:val="en-US" w:eastAsia="zh-CN"/>
              </w:rPr>
              <w:t>委托经营资产收益情况审计及乡村振兴资金审计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服务案例)的得</w:t>
            </w:r>
            <w:r>
              <w:rPr>
                <w:rFonts w:hint="eastAsia" w:ascii="Times New Roman" w:hAnsi="Times New Roman" w:eastAsia="仿宋" w:cs="仿宋"/>
                <w:bCs/>
                <w:sz w:val="24"/>
                <w:lang w:val="en-US" w:eastAsia="zh-CN"/>
              </w:rPr>
              <w:t>5-7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分,其中，提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供为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  <w:lang w:eastAsia="zh-CN"/>
              </w:rPr>
              <w:t>全国内</w:t>
            </w:r>
            <w:r>
              <w:rPr>
                <w:rFonts w:hint="default" w:ascii="Times New Roman" w:hAnsi="Times New Roman" w:eastAsia="仿宋" w:cs="仿宋"/>
                <w:bCs/>
                <w:sz w:val="24"/>
                <w:highlight w:val="none"/>
              </w:rPr>
              <w:t>地级市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  <w:lang w:eastAsia="zh-CN"/>
              </w:rPr>
              <w:t>类似业绩</w:t>
            </w:r>
            <w:r>
              <w:rPr>
                <w:rFonts w:hint="default" w:ascii="Times New Roman" w:hAnsi="Times New Roman" w:eastAsia="仿宋" w:cs="仿宋"/>
                <w:bCs/>
                <w:sz w:val="24"/>
                <w:highlight w:val="none"/>
              </w:rPr>
              <w:t>案例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的，每个得</w:t>
            </w:r>
            <w:r>
              <w:rPr>
                <w:rFonts w:hint="default" w:ascii="Times New Roman" w:hAnsi="Times New Roman" w:eastAsia="仿宋" w:cs="仿宋"/>
                <w:bCs/>
                <w:sz w:val="24"/>
                <w:highlight w:val="none"/>
              </w:rPr>
              <w:t>7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分</w:t>
            </w:r>
            <w:r>
              <w:rPr>
                <w:rFonts w:hint="default" w:ascii="Times New Roman" w:hAnsi="Times New Roman" w:eastAsia="仿宋" w:cs="仿宋"/>
                <w:bCs/>
                <w:sz w:val="24"/>
                <w:highlight w:val="none"/>
              </w:rPr>
              <w:t>，县（县级市）</w:t>
            </w:r>
            <w:r>
              <w:rPr>
                <w:rFonts w:hint="default" w:ascii="Times New Roman" w:hAnsi="Times New Roman" w:eastAsia="仿宋" w:cs="仿宋"/>
                <w:bCs/>
                <w:sz w:val="24"/>
                <w:highlight w:val="none"/>
                <w:lang w:eastAsia="zh-CN"/>
              </w:rPr>
              <w:t>类似业绩</w:t>
            </w:r>
            <w:r>
              <w:rPr>
                <w:rFonts w:hint="default" w:ascii="Times New Roman" w:hAnsi="Times New Roman" w:eastAsia="仿宋" w:cs="仿宋"/>
                <w:bCs/>
                <w:sz w:val="24"/>
                <w:highlight w:val="none"/>
              </w:rPr>
              <w:t>案例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的，每个得5分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  <w:lang w:eastAsia="zh-CN"/>
              </w:rPr>
              <w:t>，不提供不得分，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此项最高得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分。</w:t>
            </w:r>
          </w:p>
        </w:tc>
        <w:tc>
          <w:tcPr>
            <w:tcW w:w="12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</w:trPr>
        <w:tc>
          <w:tcPr>
            <w:tcW w:w="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  <w:highlight w:val="none"/>
              </w:rPr>
              <w:t>投标文件质量及规范性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9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投标文件的编制装订整齐、编制有目录和页码，无排序混乱和缺篇少页的为优，得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  <w:lang w:val="en-US" w:eastAsia="zh-CN"/>
              </w:rPr>
              <w:t>4-5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分；装订整齐、但编制内容和页码、目录等内容存在错漏项但不超过5项的为良，得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  <w:lang w:val="en-US" w:eastAsia="zh-CN"/>
              </w:rPr>
              <w:t>2-3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分；装订整齐、但编制内容和页码、目录等内容存在错漏项超过5项但不超过10项的为中，得</w:t>
            </w:r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  <w:t>分；装订不规整、编制内容、页码等错漏项超过10项的为差，不得分。</w:t>
            </w:r>
          </w:p>
        </w:tc>
        <w:tc>
          <w:tcPr>
            <w:tcW w:w="12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CellSpacing w:w="0" w:type="dxa"/>
        </w:trPr>
        <w:tc>
          <w:tcPr>
            <w:tcW w:w="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280" w:firstLineChars="100"/>
              <w:jc w:val="both"/>
              <w:textAlignment w:val="center"/>
              <w:rPr>
                <w:rFonts w:hint="eastAsia" w:ascii="Times New Roman" w:hAnsi="Times New Roman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</w:rPr>
              <w:t>服务方案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bCs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" w:cs="仿宋"/>
                <w:bCs/>
                <w:sz w:val="28"/>
                <w:szCs w:val="28"/>
              </w:rPr>
              <w:t>0</w:t>
            </w:r>
          </w:p>
        </w:tc>
        <w:tc>
          <w:tcPr>
            <w:tcW w:w="9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" w:cs="仿宋"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sz w:val="24"/>
              </w:rPr>
              <w:t>对参选人的</w:t>
            </w:r>
            <w:r>
              <w:rPr>
                <w:rFonts w:hint="eastAsia" w:ascii="Times New Roman" w:hAnsi="Times New Roman" w:eastAsia="仿宋" w:cs="仿宋"/>
                <w:bCs/>
                <w:sz w:val="24"/>
                <w:lang w:val="en-US" w:eastAsia="zh-CN"/>
              </w:rPr>
              <w:t>项目工作实施方案（须加盖公章）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进行评议，由评选小组进行横向比较打分。内容包含但不限于：提出专门的服务计划与服务承诺；针对服务内容及要求制定措施；保证服务质量；设有专人负责采购人的相关业务，优先为采购人提供服务。整体实施方案策划思路清晰、全面、具体、可行性强，方案特点明确，完全满足采购人的需求得2</w:t>
            </w:r>
            <w:r>
              <w:rPr>
                <w:rFonts w:hint="default" w:ascii="Times New Roman" w:hAnsi="Times New Roman" w:eastAsia="仿宋" w:cs="仿宋"/>
                <w:bCs/>
                <w:sz w:val="24"/>
              </w:rPr>
              <w:t>4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-</w:t>
            </w:r>
            <w:r>
              <w:rPr>
                <w:rFonts w:hint="default" w:ascii="Times New Roman" w:hAnsi="Times New Roman" w:eastAsia="仿宋" w:cs="仿宋"/>
                <w:bCs/>
                <w:sz w:val="24"/>
              </w:rPr>
              <w:t>30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分；</w:t>
            </w:r>
            <w:r>
              <w:rPr>
                <w:rFonts w:hint="eastAsia" w:ascii="Times New Roman" w:hAnsi="Times New Roman" w:eastAsia="仿宋" w:cs="仿宋"/>
                <w:bCs/>
                <w:sz w:val="24"/>
                <w:lang w:eastAsia="zh-CN"/>
              </w:rPr>
              <w:t>基本满足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得</w:t>
            </w:r>
            <w:r>
              <w:rPr>
                <w:rFonts w:hint="default" w:ascii="Times New Roman" w:hAnsi="Times New Roman" w:eastAsia="仿宋" w:cs="仿宋"/>
                <w:bCs/>
                <w:sz w:val="24"/>
              </w:rPr>
              <w:t>18-23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分；</w:t>
            </w:r>
            <w:r>
              <w:rPr>
                <w:rFonts w:hint="eastAsia" w:ascii="Times New Roman" w:hAnsi="Times New Roman" w:eastAsia="仿宋" w:cs="仿宋"/>
                <w:bCs/>
                <w:sz w:val="24"/>
                <w:lang w:eastAsia="zh-CN"/>
              </w:rPr>
              <w:t>未能满足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得1-1</w:t>
            </w:r>
            <w:r>
              <w:rPr>
                <w:rFonts w:hint="default" w:ascii="Times New Roman" w:hAnsi="Times New Roman" w:eastAsia="仿宋" w:cs="仿宋"/>
                <w:bCs/>
                <w:sz w:val="24"/>
              </w:rPr>
              <w:t>7</w:t>
            </w:r>
            <w:r>
              <w:rPr>
                <w:rFonts w:hint="eastAsia" w:ascii="Times New Roman" w:hAnsi="Times New Roman" w:eastAsia="仿宋" w:cs="仿宋"/>
                <w:bCs/>
                <w:sz w:val="24"/>
              </w:rPr>
              <w:t>分。</w:t>
            </w:r>
          </w:p>
        </w:tc>
        <w:tc>
          <w:tcPr>
            <w:tcW w:w="12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</w:trPr>
        <w:tc>
          <w:tcPr>
            <w:tcW w:w="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8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团队</w:t>
            </w:r>
          </w:p>
        </w:tc>
        <w:tc>
          <w:tcPr>
            <w:tcW w:w="4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" w:cs="仿宋"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9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仿宋" w:cs="仿宋"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服务团队需具备服务所必须的专业人才团队。（提供2人以下从事该项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目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的服务团队不得分，3人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的得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"/>
              </w:rPr>
              <w:t>5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分，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每一名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高级会计师加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分；中级会计师加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分；注册会计师加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分，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本项满分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"/>
              </w:rPr>
              <w:t>10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"/>
              </w:rPr>
              <w:t>。）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证明材料：提供证书复印件（如本行业相关各类资质证书，如会计师、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审计师、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注册会计师资格证书等）加盖公章，不提供不得分；提供社保部门出具的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2023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年任意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个月在本单位社保缴费证明复印件加盖公章，不提供不得分。</w:t>
            </w:r>
          </w:p>
        </w:tc>
        <w:tc>
          <w:tcPr>
            <w:tcW w:w="12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1357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/>
                <w:bCs/>
                <w:sz w:val="24"/>
              </w:rPr>
            </w:pPr>
            <w:r>
              <w:rPr>
                <w:rFonts w:hint="eastAsia" w:ascii="Times New Roman" w:hAnsi="Times New Roman"/>
                <w:bCs/>
                <w:sz w:val="24"/>
              </w:rPr>
              <w:t>总分</w:t>
            </w:r>
          </w:p>
        </w:tc>
        <w:tc>
          <w:tcPr>
            <w:tcW w:w="12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eastAsiaTheme="minorEastAsia"/>
          <w:lang w:eastAsia="zh-CN"/>
        </w:rPr>
        <w:sectPr>
          <w:pgSz w:w="16838" w:h="11906" w:orient="landscape"/>
          <w:pgMar w:top="567" w:right="850" w:bottom="567" w:left="850" w:header="851" w:footer="992" w:gutter="0"/>
          <w:cols w:space="0" w:num="1"/>
          <w:docGrid w:type="lines" w:linePitch="319" w:charSpace="0"/>
        </w:sectPr>
      </w:pPr>
      <w:r>
        <w:rPr>
          <w:rFonts w:hint="eastAsia"/>
        </w:rPr>
        <w:t xml:space="preserve">评选人签字：       </w:t>
      </w:r>
      <w:r>
        <w:t xml:space="preserve">    </w:t>
      </w:r>
      <w:r>
        <w:rPr>
          <w:rFonts w:hint="eastAsia"/>
        </w:rPr>
        <w:t xml:space="preserve">   日期：       年  </w:t>
      </w:r>
      <w:r>
        <w:t xml:space="preserve"> </w:t>
      </w:r>
      <w:r>
        <w:rPr>
          <w:rFonts w:hint="eastAsia"/>
        </w:rPr>
        <w:t xml:space="preserve">   月 </w:t>
      </w:r>
      <w:r>
        <w:t xml:space="preserve">  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yODE3NTU0OTQ3N2M3NDIyZjY4NDI5OTdiYTFmZTEifQ=="/>
  </w:docVars>
  <w:rsids>
    <w:rsidRoot w:val="00172A27"/>
    <w:rsid w:val="00000E4B"/>
    <w:rsid w:val="00172A27"/>
    <w:rsid w:val="00AC5509"/>
    <w:rsid w:val="00BF3855"/>
    <w:rsid w:val="00C960DB"/>
    <w:rsid w:val="00F76805"/>
    <w:rsid w:val="01EF572E"/>
    <w:rsid w:val="02830BA4"/>
    <w:rsid w:val="05175A79"/>
    <w:rsid w:val="05184787"/>
    <w:rsid w:val="054514D8"/>
    <w:rsid w:val="069944CA"/>
    <w:rsid w:val="08726929"/>
    <w:rsid w:val="08D87384"/>
    <w:rsid w:val="0F28279D"/>
    <w:rsid w:val="11D606EE"/>
    <w:rsid w:val="15CA22E2"/>
    <w:rsid w:val="169D2B0F"/>
    <w:rsid w:val="19C86197"/>
    <w:rsid w:val="19E52AA1"/>
    <w:rsid w:val="19EFF282"/>
    <w:rsid w:val="1B664536"/>
    <w:rsid w:val="1B775612"/>
    <w:rsid w:val="1CCB7EDA"/>
    <w:rsid w:val="21CE3E73"/>
    <w:rsid w:val="237F5181"/>
    <w:rsid w:val="25257B23"/>
    <w:rsid w:val="25421E95"/>
    <w:rsid w:val="25F62AB4"/>
    <w:rsid w:val="285B0C5E"/>
    <w:rsid w:val="291D2B74"/>
    <w:rsid w:val="295E430D"/>
    <w:rsid w:val="296B15FF"/>
    <w:rsid w:val="2A50057C"/>
    <w:rsid w:val="2A64640A"/>
    <w:rsid w:val="2EB72FAC"/>
    <w:rsid w:val="2FE37DD1"/>
    <w:rsid w:val="2FFF617D"/>
    <w:rsid w:val="3057632E"/>
    <w:rsid w:val="305B2047"/>
    <w:rsid w:val="31501496"/>
    <w:rsid w:val="342D47EF"/>
    <w:rsid w:val="375B030B"/>
    <w:rsid w:val="375F52CC"/>
    <w:rsid w:val="377B1C1D"/>
    <w:rsid w:val="37D3001C"/>
    <w:rsid w:val="37FFDAB4"/>
    <w:rsid w:val="3891486E"/>
    <w:rsid w:val="3AD87CD8"/>
    <w:rsid w:val="3BA949ED"/>
    <w:rsid w:val="3BD42128"/>
    <w:rsid w:val="3BDD426E"/>
    <w:rsid w:val="3BFB5BC1"/>
    <w:rsid w:val="3C57F169"/>
    <w:rsid w:val="3CB9F9EB"/>
    <w:rsid w:val="3CBB7460"/>
    <w:rsid w:val="3DAD62F3"/>
    <w:rsid w:val="3F38E645"/>
    <w:rsid w:val="3F7665C4"/>
    <w:rsid w:val="3F7FCB93"/>
    <w:rsid w:val="3FB1139A"/>
    <w:rsid w:val="3FD62637"/>
    <w:rsid w:val="40A86BF9"/>
    <w:rsid w:val="4132686D"/>
    <w:rsid w:val="41B07122"/>
    <w:rsid w:val="43BE406D"/>
    <w:rsid w:val="43F37DCE"/>
    <w:rsid w:val="47DD4AD5"/>
    <w:rsid w:val="48593316"/>
    <w:rsid w:val="48A00AFD"/>
    <w:rsid w:val="4B144EC5"/>
    <w:rsid w:val="4B76E0FD"/>
    <w:rsid w:val="4BB5666E"/>
    <w:rsid w:val="4C5639AD"/>
    <w:rsid w:val="4D6420F9"/>
    <w:rsid w:val="4D763E10"/>
    <w:rsid w:val="4FCD46C0"/>
    <w:rsid w:val="4FFC0D0F"/>
    <w:rsid w:val="50B415EA"/>
    <w:rsid w:val="521E6A84"/>
    <w:rsid w:val="53172495"/>
    <w:rsid w:val="535C2DB5"/>
    <w:rsid w:val="53937282"/>
    <w:rsid w:val="53A757C0"/>
    <w:rsid w:val="548D63DA"/>
    <w:rsid w:val="55FD2D5A"/>
    <w:rsid w:val="57825F9E"/>
    <w:rsid w:val="57D225A2"/>
    <w:rsid w:val="59946483"/>
    <w:rsid w:val="5A2F4103"/>
    <w:rsid w:val="5B01348B"/>
    <w:rsid w:val="5B386973"/>
    <w:rsid w:val="5C4C5474"/>
    <w:rsid w:val="5CCE5D8F"/>
    <w:rsid w:val="5D212DA4"/>
    <w:rsid w:val="5D6F3B79"/>
    <w:rsid w:val="5E176D14"/>
    <w:rsid w:val="5E1EC934"/>
    <w:rsid w:val="5FBE1B3D"/>
    <w:rsid w:val="6151078F"/>
    <w:rsid w:val="61763333"/>
    <w:rsid w:val="61832D07"/>
    <w:rsid w:val="62632D2A"/>
    <w:rsid w:val="6B7AD7CA"/>
    <w:rsid w:val="6B822BB4"/>
    <w:rsid w:val="6BAFCD61"/>
    <w:rsid w:val="6BBF9EF9"/>
    <w:rsid w:val="6BC4174C"/>
    <w:rsid w:val="6BDAEA5D"/>
    <w:rsid w:val="6BDDE8B1"/>
    <w:rsid w:val="6C73E359"/>
    <w:rsid w:val="6CB54826"/>
    <w:rsid w:val="6CFBCD4C"/>
    <w:rsid w:val="6E1C699A"/>
    <w:rsid w:val="6E6B3ADB"/>
    <w:rsid w:val="6E9A3775"/>
    <w:rsid w:val="6EB5372D"/>
    <w:rsid w:val="6F385147"/>
    <w:rsid w:val="6FE89932"/>
    <w:rsid w:val="70196622"/>
    <w:rsid w:val="72CB03A1"/>
    <w:rsid w:val="74581B18"/>
    <w:rsid w:val="7477EEDF"/>
    <w:rsid w:val="747DBEDB"/>
    <w:rsid w:val="74F31E31"/>
    <w:rsid w:val="766F725C"/>
    <w:rsid w:val="7775AC56"/>
    <w:rsid w:val="777BD79A"/>
    <w:rsid w:val="77FBEED3"/>
    <w:rsid w:val="77FF232F"/>
    <w:rsid w:val="784E6A2F"/>
    <w:rsid w:val="7A9E7AD7"/>
    <w:rsid w:val="7B7FFF61"/>
    <w:rsid w:val="7BFB24CF"/>
    <w:rsid w:val="7CE44F24"/>
    <w:rsid w:val="7DBD609F"/>
    <w:rsid w:val="7DBD6829"/>
    <w:rsid w:val="7E7B329B"/>
    <w:rsid w:val="7F4334D7"/>
    <w:rsid w:val="7F99AC97"/>
    <w:rsid w:val="7FA7E78F"/>
    <w:rsid w:val="7FD7EF4B"/>
    <w:rsid w:val="7FDDA4E8"/>
    <w:rsid w:val="7FDE87BB"/>
    <w:rsid w:val="7FF31B01"/>
    <w:rsid w:val="7FFC4290"/>
    <w:rsid w:val="7FFC47C3"/>
    <w:rsid w:val="7FFE1364"/>
    <w:rsid w:val="7FFF1900"/>
    <w:rsid w:val="7FFF2005"/>
    <w:rsid w:val="7FFF4414"/>
    <w:rsid w:val="7FFF66C6"/>
    <w:rsid w:val="9CEE0A1B"/>
    <w:rsid w:val="9E7BA95D"/>
    <w:rsid w:val="9EFDA0AA"/>
    <w:rsid w:val="9F7F5558"/>
    <w:rsid w:val="A2DB08D7"/>
    <w:rsid w:val="AE5461DD"/>
    <w:rsid w:val="AF7E5496"/>
    <w:rsid w:val="AFFF70C6"/>
    <w:rsid w:val="BB9F471C"/>
    <w:rsid w:val="BBFE6C18"/>
    <w:rsid w:val="BDA70666"/>
    <w:rsid w:val="BDFD3936"/>
    <w:rsid w:val="BE7E1A26"/>
    <w:rsid w:val="BF79911E"/>
    <w:rsid w:val="BF8F5416"/>
    <w:rsid w:val="BFAE55D0"/>
    <w:rsid w:val="CDFCD626"/>
    <w:rsid w:val="CE77FB3A"/>
    <w:rsid w:val="D6FED935"/>
    <w:rsid w:val="DB7FA473"/>
    <w:rsid w:val="DB9BE579"/>
    <w:rsid w:val="DBFBAE25"/>
    <w:rsid w:val="DEE1ACEF"/>
    <w:rsid w:val="DEEE33B4"/>
    <w:rsid w:val="DEFA0036"/>
    <w:rsid w:val="DF8D9497"/>
    <w:rsid w:val="E6779AE3"/>
    <w:rsid w:val="E8FBBECB"/>
    <w:rsid w:val="E97724B0"/>
    <w:rsid w:val="EBFF9DA5"/>
    <w:rsid w:val="EDF62F57"/>
    <w:rsid w:val="EEDF0D78"/>
    <w:rsid w:val="EEF42CA9"/>
    <w:rsid w:val="EF7DF31B"/>
    <w:rsid w:val="EFD741E5"/>
    <w:rsid w:val="EFE9F3BD"/>
    <w:rsid w:val="F3F6D972"/>
    <w:rsid w:val="F63F97C3"/>
    <w:rsid w:val="F7BECD9F"/>
    <w:rsid w:val="F7BF8F05"/>
    <w:rsid w:val="F7FF1E3A"/>
    <w:rsid w:val="F8EF7AF7"/>
    <w:rsid w:val="F9EF205B"/>
    <w:rsid w:val="F9FD4EF6"/>
    <w:rsid w:val="F9FF3DBF"/>
    <w:rsid w:val="FAF7C37D"/>
    <w:rsid w:val="FB2F1E0F"/>
    <w:rsid w:val="FCC9F09B"/>
    <w:rsid w:val="FCFFB57F"/>
    <w:rsid w:val="FD8F129C"/>
    <w:rsid w:val="FD9FA083"/>
    <w:rsid w:val="FE9D85C4"/>
    <w:rsid w:val="FECF30D1"/>
    <w:rsid w:val="FEFE22F9"/>
    <w:rsid w:val="FF715B4A"/>
    <w:rsid w:val="FF74EA2E"/>
    <w:rsid w:val="FFD5322E"/>
    <w:rsid w:val="FFE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645</Words>
  <Characters>132</Characters>
  <Lines>1</Lines>
  <Paragraphs>1</Paragraphs>
  <TotalTime>2</TotalTime>
  <ScaleCrop>false</ScaleCrop>
  <LinksUpToDate>false</LinksUpToDate>
  <CharactersWithSpaces>776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2023-10-29T01:34:00Z</dcterms:created>
  <dc:creator>zwyttsinacom</dc:creator>
  <cp:lastModifiedBy>综保区营商环境建设局</cp:lastModifiedBy>
  <cp:lastPrinted>2023-11-23T17:16:00Z</cp:lastPrinted>
  <dcterms:modified xsi:type="dcterms:W3CDTF">2024-04-03T03:38:26Z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8FABC542FE7047D988C1B5D308345AF8_13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