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FDC19">
      <w:pPr>
        <w:spacing w:line="500" w:lineRule="exact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bookmarkStart w:id="0" w:name="_Toc6293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附件3：</w:t>
      </w:r>
    </w:p>
    <w:p w14:paraId="0AAF5530">
      <w:pPr>
        <w:spacing w:line="500" w:lineRule="exact"/>
        <w:jc w:val="center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服务内容</w:t>
      </w:r>
    </w:p>
    <w:p w14:paraId="6D424D25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服务地点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海口综合保税区金盘片区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内研发配套服务中心一楼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海口综合保税区政务服务大厅。</w:t>
      </w:r>
    </w:p>
    <w:p w14:paraId="39B3268B">
      <w:pPr>
        <w:spacing w:line="5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服务范围</w:t>
      </w:r>
    </w:p>
    <w:p w14:paraId="67E9CB42">
      <w:pPr>
        <w:spacing w:line="5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海口综合保税区政务服务大厅约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996平方米，物业服务内容包括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保洁服务、秩序维护等。</w:t>
      </w:r>
    </w:p>
    <w:p w14:paraId="19D7AF15">
      <w:pPr>
        <w:spacing w:line="5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服务内容</w:t>
      </w:r>
    </w:p>
    <w:p w14:paraId="2F35B254">
      <w:pPr>
        <w:spacing w:line="5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1、保洁服务</w:t>
      </w:r>
    </w:p>
    <w:p w14:paraId="52D0DA52">
      <w:pPr>
        <w:spacing w:line="5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负责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海口综合保税区政务服务大厅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范围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的环境卫生清洁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包括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卫生清洁、生活垃圾收集及清运、卫生间清洁服务；</w:t>
      </w:r>
    </w:p>
    <w:p w14:paraId="6168150F">
      <w:pPr>
        <w:spacing w:line="5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、秩序维护服务</w:t>
      </w:r>
    </w:p>
    <w:p w14:paraId="7652AD01">
      <w:pPr>
        <w:spacing w:line="5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负责海口综合保税区政务服务大厅正常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上班时间段内的业务办理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秩序维护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bookmarkEnd w:id="0"/>
    <w:tbl>
      <w:tblPr>
        <w:tblStyle w:val="4"/>
        <w:tblpPr w:leftFromText="180" w:rightFromText="180" w:vertAnchor="text" w:horzAnchor="page" w:tblpX="1840" w:tblpY="1395"/>
        <w:tblOverlap w:val="never"/>
        <w:tblW w:w="51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41"/>
        <w:gridCol w:w="846"/>
        <w:gridCol w:w="3604"/>
        <w:gridCol w:w="2760"/>
      </w:tblGrid>
      <w:tr w14:paraId="3E2E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438" w:type="pct"/>
            <w:vAlign w:val="center"/>
          </w:tcPr>
          <w:p w14:paraId="0E33F6D3">
            <w:pPr>
              <w:widowControl/>
              <w:tabs>
                <w:tab w:val="left" w:pos="7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425" w:type="pct"/>
            <w:vAlign w:val="center"/>
          </w:tcPr>
          <w:p w14:paraId="4CCED3EF">
            <w:pPr>
              <w:widowControl/>
              <w:spacing w:line="320" w:lineRule="exact"/>
              <w:ind w:right="-57" w:rightChars="-27"/>
              <w:jc w:val="center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人员配置要求</w:t>
            </w:r>
          </w:p>
        </w:tc>
        <w:tc>
          <w:tcPr>
            <w:tcW w:w="485" w:type="pct"/>
            <w:vAlign w:val="center"/>
          </w:tcPr>
          <w:p w14:paraId="3A2797E5">
            <w:pPr>
              <w:widowControl/>
              <w:spacing w:line="320" w:lineRule="exact"/>
              <w:ind w:right="-78" w:rightChars="-37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人员配置</w:t>
            </w:r>
          </w:p>
        </w:tc>
        <w:tc>
          <w:tcPr>
            <w:tcW w:w="2067" w:type="pct"/>
            <w:vAlign w:val="center"/>
          </w:tcPr>
          <w:p w14:paraId="398F5E7B">
            <w:pPr>
              <w:widowControl/>
              <w:spacing w:line="320" w:lineRule="exact"/>
              <w:ind w:right="-78" w:rightChars="-37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人员资质要求：参选人对所录用人员要严格审查，要求政治上可靠，遵纪守法，敬业爱岗，身体素质好。参选人应严格按照有关规定对录用人员进行政审，确保录用人员没有不良记录，管理人员和专业技术人员需持证上岗。</w:t>
            </w:r>
          </w:p>
        </w:tc>
        <w:tc>
          <w:tcPr>
            <w:tcW w:w="1583" w:type="pct"/>
            <w:vAlign w:val="center"/>
          </w:tcPr>
          <w:p w14:paraId="19B3BB33">
            <w:pPr>
              <w:widowControl/>
              <w:spacing w:line="320" w:lineRule="exact"/>
              <w:ind w:right="-78" w:rightChars="-37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项目总人数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人，其中：保洁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人、秩序维护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人。</w:t>
            </w:r>
          </w:p>
        </w:tc>
      </w:tr>
    </w:tbl>
    <w:p w14:paraId="57AEDAA4">
      <w:pPr>
        <w:numPr>
          <w:ilvl w:val="0"/>
          <w:numId w:val="0"/>
        </w:numPr>
        <w:spacing w:line="540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人员配备要求</w:t>
      </w:r>
    </w:p>
    <w:p w14:paraId="5EEBD58A">
      <w:pPr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1、配置要求</w:t>
      </w:r>
    </w:p>
    <w:p w14:paraId="289598E7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BA59C0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D23B03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765" w:tblpY="990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260"/>
      </w:tblGrid>
      <w:tr w14:paraId="6860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500" w:type="dxa"/>
          </w:tcPr>
          <w:p w14:paraId="3A54E1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岗位</w:t>
            </w:r>
          </w:p>
        </w:tc>
        <w:tc>
          <w:tcPr>
            <w:tcW w:w="7260" w:type="dxa"/>
          </w:tcPr>
          <w:p w14:paraId="44768F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职责内容</w:t>
            </w:r>
          </w:p>
        </w:tc>
      </w:tr>
      <w:tr w14:paraId="7E93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00" w:type="dxa"/>
          </w:tcPr>
          <w:p w14:paraId="6A5153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保洁人员</w:t>
            </w:r>
          </w:p>
        </w:tc>
        <w:tc>
          <w:tcPr>
            <w:tcW w:w="7260" w:type="dxa"/>
          </w:tcPr>
          <w:p w14:paraId="33BAB5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根据管委会要求的频次和标准对海口综合保税区政务服务大厅，包括政务大厅走廊、楼梯、洗手间等公共区域进行日常清洁、维护；负责垃圾收集和清运。</w:t>
            </w:r>
          </w:p>
        </w:tc>
      </w:tr>
      <w:tr w14:paraId="35E5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00" w:type="dxa"/>
          </w:tcPr>
          <w:p w14:paraId="068988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秩序维护人员</w:t>
            </w:r>
          </w:p>
        </w:tc>
        <w:tc>
          <w:tcPr>
            <w:tcW w:w="7260" w:type="dxa"/>
          </w:tcPr>
          <w:p w14:paraId="52209F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负责海口综合保税区政务服务大厅正常上班时间的在线维护、突发事件应急处理，做好防火、防盗、防破坏工作，防止侵害区域内财产及人员人身安全行为的发生，维护区域内安全。</w:t>
            </w:r>
          </w:p>
        </w:tc>
      </w:tr>
    </w:tbl>
    <w:p w14:paraId="204B102F"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2、物业服务人员的岗位职责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3MGE3NDkyY2YzZjQyYzBkZDNhY2NiZGEzY2FiMWMifQ=="/>
  </w:docVars>
  <w:rsids>
    <w:rsidRoot w:val="00A13621"/>
    <w:rsid w:val="001E43D3"/>
    <w:rsid w:val="00292F8C"/>
    <w:rsid w:val="003140B8"/>
    <w:rsid w:val="00371680"/>
    <w:rsid w:val="005F2227"/>
    <w:rsid w:val="00793A0E"/>
    <w:rsid w:val="007B2E29"/>
    <w:rsid w:val="008675BE"/>
    <w:rsid w:val="008A0025"/>
    <w:rsid w:val="008C1466"/>
    <w:rsid w:val="00A13621"/>
    <w:rsid w:val="00AC3211"/>
    <w:rsid w:val="00B418D7"/>
    <w:rsid w:val="00E14489"/>
    <w:rsid w:val="00E5482D"/>
    <w:rsid w:val="00E96EA1"/>
    <w:rsid w:val="00F062FC"/>
    <w:rsid w:val="00F5342B"/>
    <w:rsid w:val="3322332B"/>
    <w:rsid w:val="66C94D3A"/>
    <w:rsid w:val="677D7902"/>
    <w:rsid w:val="73054A9B"/>
    <w:rsid w:val="7E5F28FE"/>
    <w:rsid w:val="7E82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522</Characters>
  <Lines>30</Lines>
  <Paragraphs>8</Paragraphs>
  <TotalTime>2</TotalTime>
  <ScaleCrop>false</ScaleCrop>
  <LinksUpToDate>false</LinksUpToDate>
  <CharactersWithSpaces>522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2022-09-26T15:18:00Z</dcterms:created>
  <dc:creator>王英州</dc:creator>
  <cp:lastModifiedBy>hong</cp:lastModifiedBy>
  <dcterms:modified xsi:type="dcterms:W3CDTF">2024-07-19T02:30:32Z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4AEE953419F343019ED3363A4705BCD7_13</vt:lpwstr>
  </property>
</Properties>
</file>